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D2B4" w14:textId="03912910" w:rsidR="005C2A3C" w:rsidRPr="00834F79" w:rsidRDefault="005C2A3C" w:rsidP="00834F79">
      <w:pPr>
        <w:jc w:val="center"/>
        <w:rPr>
          <w:b/>
          <w:bCs/>
          <w:sz w:val="32"/>
          <w:szCs w:val="32"/>
        </w:rPr>
      </w:pPr>
      <w:r w:rsidRPr="00834F79">
        <w:rPr>
          <w:b/>
          <w:bCs/>
          <w:sz w:val="32"/>
          <w:szCs w:val="32"/>
        </w:rPr>
        <w:t>Quarterly Report</w:t>
      </w:r>
      <w:r w:rsidR="005E7EDF">
        <w:rPr>
          <w:b/>
          <w:bCs/>
          <w:sz w:val="32"/>
          <w:szCs w:val="32"/>
        </w:rPr>
        <w:t xml:space="preserve"> – Public Page</w:t>
      </w:r>
    </w:p>
    <w:p w14:paraId="6E7BEAA2" w14:textId="77777777" w:rsidR="005C2A3C" w:rsidRPr="00024B41" w:rsidRDefault="005C2A3C" w:rsidP="00863949">
      <w:pPr>
        <w:ind w:left="720"/>
        <w:rPr>
          <w:sz w:val="22"/>
        </w:rPr>
      </w:pPr>
      <w:r>
        <w:t> </w:t>
      </w:r>
    </w:p>
    <w:p w14:paraId="19B951A5" w14:textId="4C941341" w:rsidR="0072334D" w:rsidRPr="00FF45E6" w:rsidRDefault="0072334D" w:rsidP="0072334D">
      <w:pPr>
        <w:pStyle w:val="NoSpacing"/>
        <w:rPr>
          <w:i/>
        </w:rPr>
      </w:pPr>
      <w:r w:rsidRPr="4D6C17FF">
        <w:rPr>
          <w:b/>
          <w:bCs/>
        </w:rPr>
        <w:t>Date of Report:</w:t>
      </w:r>
      <w:r>
        <w:t xml:space="preserve">  </w:t>
      </w:r>
      <w:r w:rsidR="005A3F6B">
        <w:rPr>
          <w:i/>
        </w:rPr>
        <w:t>7</w:t>
      </w:r>
      <w:r w:rsidRPr="00FF45E6">
        <w:rPr>
          <w:i/>
        </w:rPr>
        <w:t xml:space="preserve">th Quarterly Report, </w:t>
      </w:r>
      <w:r w:rsidR="005A3F6B">
        <w:rPr>
          <w:i/>
        </w:rPr>
        <w:t>June 28</w:t>
      </w:r>
      <w:r w:rsidRPr="00FF45E6">
        <w:rPr>
          <w:i/>
        </w:rPr>
        <w:t>, 202</w:t>
      </w:r>
      <w:r>
        <w:rPr>
          <w:i/>
        </w:rPr>
        <w:t>4</w:t>
      </w:r>
    </w:p>
    <w:p w14:paraId="757DE56E" w14:textId="77777777" w:rsidR="0072334D" w:rsidRPr="0003596F" w:rsidRDefault="0072334D" w:rsidP="0072334D">
      <w:pPr>
        <w:pStyle w:val="NoSpacing"/>
      </w:pPr>
      <w:r w:rsidRPr="0003596F">
        <w:rPr>
          <w:b/>
        </w:rPr>
        <w:t>Contract Number:</w:t>
      </w:r>
      <w:r w:rsidRPr="0003596F">
        <w:t xml:space="preserve">  </w:t>
      </w:r>
      <w:r w:rsidRPr="00FF45E6">
        <w:rPr>
          <w:i/>
        </w:rPr>
        <w:t>693JK32210001POTA</w:t>
      </w:r>
    </w:p>
    <w:p w14:paraId="79D79987" w14:textId="77777777" w:rsidR="0072334D" w:rsidRPr="0003596F" w:rsidRDefault="0072334D" w:rsidP="0072334D">
      <w:pPr>
        <w:pStyle w:val="NoSpacing"/>
      </w:pPr>
      <w:r w:rsidRPr="0003596F">
        <w:rPr>
          <w:b/>
        </w:rPr>
        <w:t>Prepared for:</w:t>
      </w:r>
      <w:r w:rsidRPr="0003596F">
        <w:t xml:space="preserve"> </w:t>
      </w:r>
      <w:r>
        <w:t xml:space="preserve"> </w:t>
      </w:r>
      <w:r w:rsidRPr="00FF45E6">
        <w:rPr>
          <w:i/>
        </w:rPr>
        <w:t>Government Agency: DOT and Co-</w:t>
      </w:r>
      <w:proofErr w:type="gramStart"/>
      <w:r w:rsidRPr="00FF45E6">
        <w:rPr>
          <w:i/>
        </w:rPr>
        <w:t>funders</w:t>
      </w:r>
      <w:proofErr w:type="gramEnd"/>
    </w:p>
    <w:p w14:paraId="5F29D7E3" w14:textId="77777777" w:rsidR="0072334D" w:rsidRPr="00FF45E6" w:rsidRDefault="0072334D" w:rsidP="0072334D">
      <w:pPr>
        <w:pStyle w:val="NoSpacing"/>
        <w:rPr>
          <w:i/>
        </w:rPr>
      </w:pPr>
      <w:r w:rsidRPr="0003596F">
        <w:rPr>
          <w:b/>
        </w:rPr>
        <w:t>Project Title:</w:t>
      </w:r>
      <w:r w:rsidRPr="0003596F">
        <w:t xml:space="preserve"> </w:t>
      </w:r>
      <w:r>
        <w:t xml:space="preserve"> </w:t>
      </w:r>
      <w:r w:rsidRPr="00FF45E6">
        <w:rPr>
          <w:i/>
        </w:rPr>
        <w:t>Developing Corrosion Control Monitoring Technology for Hazardous Liquid Breakout Tanks</w:t>
      </w:r>
    </w:p>
    <w:p w14:paraId="634C0571" w14:textId="77777777" w:rsidR="0072334D" w:rsidRPr="0003596F" w:rsidRDefault="0072334D" w:rsidP="0072334D">
      <w:pPr>
        <w:pStyle w:val="NoSpacing"/>
      </w:pPr>
      <w:r w:rsidRPr="0003596F">
        <w:rPr>
          <w:b/>
        </w:rPr>
        <w:t>Prepared by:</w:t>
      </w:r>
      <w:r w:rsidRPr="0003596F">
        <w:t xml:space="preserve"> </w:t>
      </w:r>
      <w:r>
        <w:t xml:space="preserve"> </w:t>
      </w:r>
      <w:r w:rsidRPr="00FF45E6">
        <w:rPr>
          <w:i/>
        </w:rPr>
        <w:t>Pipeline Research Council International, Inc.</w:t>
      </w:r>
    </w:p>
    <w:p w14:paraId="7679A20E" w14:textId="700AFA38" w:rsidR="0072334D" w:rsidRPr="0003596F" w:rsidRDefault="0072334D" w:rsidP="0072334D">
      <w:pPr>
        <w:pStyle w:val="NoSpacing"/>
      </w:pPr>
      <w:r w:rsidRPr="0003596F">
        <w:rPr>
          <w:b/>
          <w:bCs/>
        </w:rPr>
        <w:t>Contact Information:</w:t>
      </w:r>
      <w:r w:rsidRPr="0003596F">
        <w:t xml:space="preserve">  </w:t>
      </w:r>
      <w:r w:rsidR="005A3F6B" w:rsidRPr="005A3F6B">
        <w:rPr>
          <w:i/>
        </w:rPr>
        <w:t xml:space="preserve">Janie Norton, </w:t>
      </w:r>
      <w:hyperlink r:id="rId11" w:history="1">
        <w:r w:rsidR="005A3F6B" w:rsidRPr="005A3F6B">
          <w:rPr>
            <w:i/>
            <w:color w:val="0563C1"/>
            <w:u w:val="single"/>
          </w:rPr>
          <w:t>jnorton@prci.org</w:t>
        </w:r>
      </w:hyperlink>
      <w:r w:rsidR="005A3F6B" w:rsidRPr="005A3F6B">
        <w:rPr>
          <w:i/>
        </w:rPr>
        <w:t xml:space="preserve"> 703-205-1600 </w:t>
      </w:r>
      <w:proofErr w:type="spellStart"/>
      <w:r w:rsidR="005A3F6B" w:rsidRPr="005A3F6B">
        <w:rPr>
          <w:i/>
        </w:rPr>
        <w:t>ext</w:t>
      </w:r>
      <w:proofErr w:type="spellEnd"/>
      <w:r w:rsidR="005A3F6B" w:rsidRPr="005A3F6B">
        <w:rPr>
          <w:i/>
        </w:rPr>
        <w:t xml:space="preserve">: </w:t>
      </w:r>
      <w:proofErr w:type="gramStart"/>
      <w:r w:rsidR="005A3F6B" w:rsidRPr="005A3F6B">
        <w:rPr>
          <w:i/>
        </w:rPr>
        <w:t>105</w:t>
      </w:r>
      <w:proofErr w:type="gramEnd"/>
      <w:r w:rsidRPr="0003596F">
        <w:t xml:space="preserve"> </w:t>
      </w:r>
    </w:p>
    <w:p w14:paraId="334AE368" w14:textId="4BE99E76" w:rsidR="0072334D" w:rsidRPr="0003596F" w:rsidRDefault="0072334D" w:rsidP="0072334D">
      <w:pPr>
        <w:pStyle w:val="NoSpacing"/>
      </w:pPr>
      <w:r w:rsidRPr="0003596F">
        <w:rPr>
          <w:b/>
          <w:bCs/>
        </w:rPr>
        <w:t>For quarterly period ending:</w:t>
      </w:r>
      <w:r w:rsidRPr="0003596F">
        <w:t xml:space="preserve"> </w:t>
      </w:r>
      <w:r>
        <w:t xml:space="preserve"> </w:t>
      </w:r>
      <w:r w:rsidR="005A3F6B">
        <w:rPr>
          <w:i/>
        </w:rPr>
        <w:t>June 30</w:t>
      </w:r>
      <w:r w:rsidRPr="00FF45E6">
        <w:rPr>
          <w:i/>
        </w:rPr>
        <w:t>, 202</w:t>
      </w:r>
      <w:r>
        <w:rPr>
          <w:i/>
        </w:rPr>
        <w:t>4</w:t>
      </w:r>
    </w:p>
    <w:p w14:paraId="672A6659" w14:textId="77777777" w:rsidR="001127DB" w:rsidRPr="008C7119" w:rsidRDefault="001127DB" w:rsidP="0054195E">
      <w:pPr>
        <w:pStyle w:val="NoSpacing"/>
        <w:rPr>
          <w:bCs/>
        </w:rPr>
      </w:pPr>
    </w:p>
    <w:p w14:paraId="6AFD4902" w14:textId="0B02A56C" w:rsidR="00A136C1" w:rsidRPr="00D035B1" w:rsidRDefault="00901968" w:rsidP="0054195E">
      <w:pPr>
        <w:pStyle w:val="NoSpacing"/>
        <w:rPr>
          <w:b/>
          <w:highlight w:val="yellow"/>
        </w:rPr>
      </w:pPr>
      <w:r>
        <w:rPr>
          <w:b/>
        </w:rPr>
        <w:t xml:space="preserve">1: </w:t>
      </w:r>
      <w:r w:rsidR="00EB61D2">
        <w:rPr>
          <w:b/>
        </w:rPr>
        <w:t xml:space="preserve">Items </w:t>
      </w:r>
      <w:r w:rsidR="00A136C1" w:rsidRPr="00A7663D">
        <w:rPr>
          <w:b/>
        </w:rPr>
        <w:t>Completed During this Quarterly Period</w:t>
      </w:r>
      <w:r w:rsidR="00A7663D" w:rsidRPr="00A7663D">
        <w:rPr>
          <w:b/>
        </w:rPr>
        <w:t>:</w:t>
      </w:r>
      <w:bookmarkStart w:id="0" w:name="_Hlk138414290"/>
    </w:p>
    <w:bookmarkEnd w:id="0"/>
    <w:p w14:paraId="0A37501D" w14:textId="77777777" w:rsidR="00B46870" w:rsidRPr="00D035B1" w:rsidRDefault="00B46870" w:rsidP="0054195E">
      <w:pPr>
        <w:pStyle w:val="NoSpacing"/>
        <w:rPr>
          <w:bCs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479"/>
        <w:gridCol w:w="2341"/>
        <w:gridCol w:w="1155"/>
        <w:gridCol w:w="1007"/>
      </w:tblGrid>
      <w:tr w:rsidR="00B46870" w:rsidRPr="00D035B1" w14:paraId="07F91D1A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769726BA" w14:textId="77777777" w:rsidR="008D534A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Item</w:t>
            </w:r>
          </w:p>
          <w:p w14:paraId="5AFC7B24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698" w:type="dxa"/>
          </w:tcPr>
          <w:p w14:paraId="15F68445" w14:textId="77777777" w:rsidR="008D534A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Task</w:t>
            </w:r>
          </w:p>
          <w:p w14:paraId="46AE0C79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3479" w:type="dxa"/>
            <w:shd w:val="clear" w:color="auto" w:fill="auto"/>
          </w:tcPr>
          <w:p w14:paraId="5B9EC96A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Activity/Deliverable</w:t>
            </w:r>
          </w:p>
        </w:tc>
        <w:tc>
          <w:tcPr>
            <w:tcW w:w="2341" w:type="dxa"/>
            <w:shd w:val="clear" w:color="auto" w:fill="auto"/>
          </w:tcPr>
          <w:p w14:paraId="59AD10AE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Title</w:t>
            </w:r>
          </w:p>
        </w:tc>
        <w:tc>
          <w:tcPr>
            <w:tcW w:w="1155" w:type="dxa"/>
            <w:shd w:val="clear" w:color="auto" w:fill="auto"/>
          </w:tcPr>
          <w:p w14:paraId="4BD1FFC9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Federal Cost</w:t>
            </w:r>
          </w:p>
        </w:tc>
        <w:tc>
          <w:tcPr>
            <w:tcW w:w="1007" w:type="dxa"/>
            <w:shd w:val="clear" w:color="auto" w:fill="auto"/>
          </w:tcPr>
          <w:p w14:paraId="09B5BB56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Cost Share</w:t>
            </w:r>
          </w:p>
        </w:tc>
      </w:tr>
      <w:tr w:rsidR="005A3F6B" w:rsidRPr="004E27B7" w14:paraId="5B740361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6FF8DCD4" w14:textId="27A591F9" w:rsidR="005A3F6B" w:rsidRPr="0003596F" w:rsidRDefault="005A3F6B" w:rsidP="005A3F6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698" w:type="dxa"/>
          </w:tcPr>
          <w:p w14:paraId="393CA77A" w14:textId="15DDC11F" w:rsidR="005A3F6B" w:rsidRPr="0003596F" w:rsidRDefault="005A3F6B" w:rsidP="005A3F6B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66F1D3E7" w14:textId="7746768F" w:rsidR="005A3F6B" w:rsidRPr="0003596F" w:rsidRDefault="005A3F6B" w:rsidP="005A3F6B">
            <w:pPr>
              <w:pStyle w:val="NoSpacing"/>
              <w:rPr>
                <w:bCs/>
                <w:iCs/>
              </w:rPr>
            </w:pPr>
            <w:r w:rsidRPr="0072334D">
              <w:rPr>
                <w:bCs/>
                <w:iCs/>
              </w:rPr>
              <w:t>Collection of the laboratory experimental data, control experiment data, and retrieval of the coupons, ER probes, and UT-based mass-loss coupons</w:t>
            </w:r>
          </w:p>
        </w:tc>
        <w:tc>
          <w:tcPr>
            <w:tcW w:w="2341" w:type="dxa"/>
            <w:shd w:val="clear" w:color="auto" w:fill="auto"/>
          </w:tcPr>
          <w:p w14:paraId="665B23ED" w14:textId="653F43E8" w:rsidR="005A3F6B" w:rsidRPr="0003596F" w:rsidRDefault="005A3F6B" w:rsidP="005A3F6B">
            <w:pPr>
              <w:pStyle w:val="NoSpacing"/>
              <w:rPr>
                <w:bCs/>
                <w:iCs/>
              </w:rPr>
            </w:pPr>
            <w:r w:rsidRPr="0072334D">
              <w:rPr>
                <w:bCs/>
                <w:iCs/>
              </w:rPr>
              <w:t>Summary of the data retrieved from various testing included in the quarterly report</w:t>
            </w:r>
          </w:p>
        </w:tc>
        <w:tc>
          <w:tcPr>
            <w:tcW w:w="1155" w:type="dxa"/>
            <w:shd w:val="clear" w:color="auto" w:fill="auto"/>
          </w:tcPr>
          <w:p w14:paraId="517E2139" w14:textId="471D1424" w:rsidR="005A3F6B" w:rsidRPr="0003596F" w:rsidRDefault="005A3F6B" w:rsidP="005A3F6B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>$</w:t>
            </w:r>
            <w:r>
              <w:rPr>
                <w:bCs/>
                <w:iCs/>
              </w:rPr>
              <w:t>34,722</w:t>
            </w:r>
          </w:p>
        </w:tc>
        <w:tc>
          <w:tcPr>
            <w:tcW w:w="1007" w:type="dxa"/>
            <w:shd w:val="clear" w:color="auto" w:fill="auto"/>
          </w:tcPr>
          <w:p w14:paraId="6ECD77A6" w14:textId="419A8265" w:rsidR="005A3F6B" w:rsidRPr="0003596F" w:rsidRDefault="005A3F6B" w:rsidP="005A3F6B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>$</w:t>
            </w:r>
            <w:r>
              <w:rPr>
                <w:bCs/>
                <w:iCs/>
              </w:rPr>
              <w:t>34,722</w:t>
            </w:r>
          </w:p>
        </w:tc>
      </w:tr>
      <w:tr w:rsidR="00A77DA0" w:rsidRPr="004E27B7" w14:paraId="1E6DC790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3FE2F086" w14:textId="7A167515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bookmarkStart w:id="1" w:name="_Hlk169066223"/>
            <w:r>
              <w:rPr>
                <w:bCs/>
                <w:iCs/>
              </w:rPr>
              <w:t>20</w:t>
            </w:r>
          </w:p>
        </w:tc>
        <w:tc>
          <w:tcPr>
            <w:tcW w:w="698" w:type="dxa"/>
          </w:tcPr>
          <w:p w14:paraId="003217C8" w14:textId="4A969273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14:paraId="1CC6F1A1" w14:textId="22E7527A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 w:rsidRPr="00A77DA0">
              <w:rPr>
                <w:bCs/>
                <w:iCs/>
              </w:rPr>
              <w:t>Analysis of the monitoring data to determine the inspection intervals</w:t>
            </w:r>
          </w:p>
        </w:tc>
        <w:tc>
          <w:tcPr>
            <w:tcW w:w="2341" w:type="dxa"/>
            <w:shd w:val="clear" w:color="auto" w:fill="auto"/>
          </w:tcPr>
          <w:p w14:paraId="17307A25" w14:textId="2679AA4A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 w:rsidRPr="00F001B9">
              <w:t>Results to be included in the quarterly report</w:t>
            </w:r>
          </w:p>
        </w:tc>
        <w:tc>
          <w:tcPr>
            <w:tcW w:w="1155" w:type="dxa"/>
            <w:shd w:val="clear" w:color="auto" w:fill="auto"/>
          </w:tcPr>
          <w:p w14:paraId="39CA9856" w14:textId="114EEFF1" w:rsidR="00A77DA0" w:rsidRPr="0003596F" w:rsidRDefault="00A5678C" w:rsidP="00A77DA0">
            <w:pPr>
              <w:pStyle w:val="NoSpacing"/>
              <w:rPr>
                <w:bCs/>
                <w:iCs/>
              </w:rPr>
            </w:pPr>
            <w:r>
              <w:t>$</w:t>
            </w:r>
            <w:r w:rsidR="00A77DA0" w:rsidRPr="00F001B9">
              <w:t xml:space="preserve">3,258 </w:t>
            </w:r>
          </w:p>
        </w:tc>
        <w:tc>
          <w:tcPr>
            <w:tcW w:w="1007" w:type="dxa"/>
            <w:shd w:val="clear" w:color="auto" w:fill="auto"/>
          </w:tcPr>
          <w:p w14:paraId="2C42EC3E" w14:textId="6C5B8E43" w:rsidR="00A77DA0" w:rsidRPr="0003596F" w:rsidRDefault="00A5678C" w:rsidP="00A77DA0">
            <w:pPr>
              <w:pStyle w:val="NoSpacing"/>
              <w:rPr>
                <w:bCs/>
                <w:iCs/>
              </w:rPr>
            </w:pPr>
            <w:r>
              <w:t>$</w:t>
            </w:r>
            <w:r w:rsidR="00A77DA0" w:rsidRPr="00F001B9">
              <w:t xml:space="preserve">3,258 </w:t>
            </w:r>
          </w:p>
        </w:tc>
      </w:tr>
      <w:bookmarkEnd w:id="1"/>
      <w:tr w:rsidR="00A5678C" w:rsidRPr="004E27B7" w14:paraId="3A8A87AF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5729A2D3" w14:textId="4A1EA999" w:rsidR="00A5678C" w:rsidRPr="0003596F" w:rsidRDefault="00A5678C" w:rsidP="00A5678C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698" w:type="dxa"/>
          </w:tcPr>
          <w:p w14:paraId="735852CA" w14:textId="051B6DCE" w:rsidR="00A5678C" w:rsidRPr="0003596F" w:rsidRDefault="00A5678C" w:rsidP="00A5678C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1E6CFCEE" w14:textId="08502FD0" w:rsidR="00A5678C" w:rsidRPr="0003596F" w:rsidRDefault="00A5678C" w:rsidP="00A5678C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>Quarterly Project Management &amp; Status Update Reporting</w:t>
            </w:r>
          </w:p>
        </w:tc>
        <w:tc>
          <w:tcPr>
            <w:tcW w:w="2341" w:type="dxa"/>
            <w:shd w:val="clear" w:color="auto" w:fill="auto"/>
          </w:tcPr>
          <w:p w14:paraId="562FFF84" w14:textId="302DD78C" w:rsidR="00A5678C" w:rsidRPr="0003596F" w:rsidRDefault="00A5678C" w:rsidP="00A5678C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 xml:space="preserve">Submit </w:t>
            </w:r>
            <w:r>
              <w:rPr>
                <w:bCs/>
                <w:iCs/>
              </w:rPr>
              <w:t>7</w:t>
            </w:r>
            <w:r w:rsidRPr="0003596F">
              <w:rPr>
                <w:bCs/>
                <w:iCs/>
              </w:rPr>
              <w:t>th quarterly report</w:t>
            </w:r>
          </w:p>
        </w:tc>
        <w:tc>
          <w:tcPr>
            <w:tcW w:w="1155" w:type="dxa"/>
            <w:shd w:val="clear" w:color="auto" w:fill="auto"/>
          </w:tcPr>
          <w:p w14:paraId="0A6A489E" w14:textId="448A10E3" w:rsidR="00A5678C" w:rsidRPr="0003596F" w:rsidRDefault="00A5678C" w:rsidP="00A5678C">
            <w:pPr>
              <w:pStyle w:val="NoSpacing"/>
              <w:rPr>
                <w:bCs/>
                <w:iCs/>
              </w:rPr>
            </w:pPr>
            <w:r>
              <w:t>$</w:t>
            </w:r>
            <w:r w:rsidRPr="00EF3A56">
              <w:t xml:space="preserve">4,477 </w:t>
            </w:r>
          </w:p>
        </w:tc>
        <w:tc>
          <w:tcPr>
            <w:tcW w:w="1007" w:type="dxa"/>
            <w:shd w:val="clear" w:color="auto" w:fill="auto"/>
          </w:tcPr>
          <w:p w14:paraId="2A708AD3" w14:textId="1DA2FF83" w:rsidR="00A5678C" w:rsidRPr="0003596F" w:rsidRDefault="00A5678C" w:rsidP="00A5678C">
            <w:pPr>
              <w:pStyle w:val="NoSpacing"/>
              <w:rPr>
                <w:bCs/>
                <w:iCs/>
              </w:rPr>
            </w:pPr>
            <w:r>
              <w:t>$</w:t>
            </w:r>
            <w:r w:rsidRPr="00EF3A56">
              <w:t xml:space="preserve">4,477 </w:t>
            </w:r>
          </w:p>
        </w:tc>
      </w:tr>
    </w:tbl>
    <w:p w14:paraId="5DAB6C7B" w14:textId="77777777" w:rsidR="004C043F" w:rsidRDefault="004C043F" w:rsidP="0054195E">
      <w:pPr>
        <w:pStyle w:val="NoSpacing"/>
        <w:rPr>
          <w:i/>
        </w:rPr>
      </w:pPr>
    </w:p>
    <w:p w14:paraId="02ECCFC4" w14:textId="347B0625" w:rsidR="00600383" w:rsidRPr="00A7663D" w:rsidRDefault="00901968" w:rsidP="00600383">
      <w:pPr>
        <w:pStyle w:val="NoSpacing"/>
        <w:rPr>
          <w:b/>
        </w:rPr>
      </w:pPr>
      <w:r>
        <w:rPr>
          <w:b/>
        </w:rPr>
        <w:t xml:space="preserve">2: </w:t>
      </w:r>
      <w:r w:rsidR="00600383">
        <w:rPr>
          <w:b/>
        </w:rPr>
        <w:t xml:space="preserve">Items </w:t>
      </w:r>
      <w:r w:rsidR="00BB4402">
        <w:rPr>
          <w:b/>
        </w:rPr>
        <w:t>Not Completed</w:t>
      </w:r>
      <w:r w:rsidR="00600383" w:rsidRPr="00A7663D">
        <w:rPr>
          <w:b/>
        </w:rPr>
        <w:t xml:space="preserve"> During this Quarterly Period:</w:t>
      </w:r>
    </w:p>
    <w:p w14:paraId="5A39BBE3" w14:textId="61D33498" w:rsidR="00BB4402" w:rsidRDefault="00BB4402" w:rsidP="0054195E">
      <w:pPr>
        <w:pStyle w:val="NoSpacing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479"/>
        <w:gridCol w:w="2341"/>
        <w:gridCol w:w="1155"/>
        <w:gridCol w:w="1007"/>
      </w:tblGrid>
      <w:tr w:rsidR="0072334D" w:rsidRPr="00D035B1" w14:paraId="0161F4B8" w14:textId="77777777" w:rsidTr="00825585">
        <w:trPr>
          <w:trHeight w:val="300"/>
        </w:trPr>
        <w:tc>
          <w:tcPr>
            <w:tcW w:w="670" w:type="dxa"/>
            <w:shd w:val="clear" w:color="auto" w:fill="auto"/>
          </w:tcPr>
          <w:p w14:paraId="38045BFF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Item</w:t>
            </w:r>
          </w:p>
          <w:p w14:paraId="1A4A07CD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698" w:type="dxa"/>
          </w:tcPr>
          <w:p w14:paraId="251A05DC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Task</w:t>
            </w:r>
          </w:p>
          <w:p w14:paraId="725FA036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3479" w:type="dxa"/>
            <w:shd w:val="clear" w:color="auto" w:fill="auto"/>
          </w:tcPr>
          <w:p w14:paraId="599228E8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Activity/Deliverable</w:t>
            </w:r>
          </w:p>
        </w:tc>
        <w:tc>
          <w:tcPr>
            <w:tcW w:w="2341" w:type="dxa"/>
            <w:shd w:val="clear" w:color="auto" w:fill="auto"/>
          </w:tcPr>
          <w:p w14:paraId="57383EB2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Title</w:t>
            </w:r>
          </w:p>
        </w:tc>
        <w:tc>
          <w:tcPr>
            <w:tcW w:w="1155" w:type="dxa"/>
            <w:shd w:val="clear" w:color="auto" w:fill="auto"/>
          </w:tcPr>
          <w:p w14:paraId="23CA1A84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Federal Cost</w:t>
            </w:r>
          </w:p>
        </w:tc>
        <w:tc>
          <w:tcPr>
            <w:tcW w:w="1007" w:type="dxa"/>
            <w:shd w:val="clear" w:color="auto" w:fill="auto"/>
          </w:tcPr>
          <w:p w14:paraId="1B680A5B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Cost Share</w:t>
            </w:r>
          </w:p>
        </w:tc>
      </w:tr>
      <w:tr w:rsidR="00A77DA0" w:rsidRPr="004E27B7" w14:paraId="2F23AFD0" w14:textId="77777777" w:rsidTr="00825585">
        <w:trPr>
          <w:trHeight w:val="300"/>
        </w:trPr>
        <w:tc>
          <w:tcPr>
            <w:tcW w:w="670" w:type="dxa"/>
            <w:shd w:val="clear" w:color="auto" w:fill="auto"/>
          </w:tcPr>
          <w:p w14:paraId="25F5D80A" w14:textId="01E55FD1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698" w:type="dxa"/>
          </w:tcPr>
          <w:p w14:paraId="636DBD04" w14:textId="361E7F99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14:paraId="03F92F71" w14:textId="2CB794B5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 w:rsidRPr="00A77DA0">
              <w:rPr>
                <w:bCs/>
                <w:iCs/>
              </w:rPr>
              <w:t>Analyze various monitoring data to determine the direct and indirect corrosion rates and compare those to the tank bottom indications, and regulatory requirements</w:t>
            </w:r>
          </w:p>
        </w:tc>
        <w:tc>
          <w:tcPr>
            <w:tcW w:w="2341" w:type="dxa"/>
            <w:shd w:val="clear" w:color="auto" w:fill="auto"/>
          </w:tcPr>
          <w:p w14:paraId="099DA9EB" w14:textId="4DB628D7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 w:rsidRPr="00834935">
              <w:t>Results to be included in the quarterly report</w:t>
            </w:r>
          </w:p>
        </w:tc>
        <w:tc>
          <w:tcPr>
            <w:tcW w:w="1155" w:type="dxa"/>
            <w:shd w:val="clear" w:color="auto" w:fill="auto"/>
          </w:tcPr>
          <w:p w14:paraId="008C41C4" w14:textId="1FEB675E" w:rsidR="00A77DA0" w:rsidRPr="0003596F" w:rsidRDefault="00A5678C" w:rsidP="00A77DA0">
            <w:pPr>
              <w:pStyle w:val="NoSpacing"/>
              <w:rPr>
                <w:bCs/>
                <w:iCs/>
              </w:rPr>
            </w:pPr>
            <w:r>
              <w:t>$</w:t>
            </w:r>
            <w:r w:rsidR="00A77DA0" w:rsidRPr="00834935">
              <w:t xml:space="preserve">9,121 </w:t>
            </w:r>
          </w:p>
        </w:tc>
        <w:tc>
          <w:tcPr>
            <w:tcW w:w="1007" w:type="dxa"/>
            <w:shd w:val="clear" w:color="auto" w:fill="auto"/>
          </w:tcPr>
          <w:p w14:paraId="1FC3A1D2" w14:textId="215572A5" w:rsidR="00A77DA0" w:rsidRPr="0003596F" w:rsidRDefault="00A5678C" w:rsidP="00A77DA0">
            <w:pPr>
              <w:pStyle w:val="NoSpacing"/>
              <w:rPr>
                <w:bCs/>
                <w:iCs/>
              </w:rPr>
            </w:pPr>
            <w:r>
              <w:t>$</w:t>
            </w:r>
            <w:r w:rsidR="00A77DA0" w:rsidRPr="00834935">
              <w:t xml:space="preserve">9,121 </w:t>
            </w:r>
          </w:p>
        </w:tc>
      </w:tr>
      <w:tr w:rsidR="00A77DA0" w:rsidRPr="004E27B7" w14:paraId="400B3C24" w14:textId="77777777" w:rsidTr="00825585">
        <w:trPr>
          <w:trHeight w:val="300"/>
        </w:trPr>
        <w:tc>
          <w:tcPr>
            <w:tcW w:w="670" w:type="dxa"/>
            <w:shd w:val="clear" w:color="auto" w:fill="auto"/>
          </w:tcPr>
          <w:p w14:paraId="762ADB04" w14:textId="053652A2" w:rsidR="00A77DA0" w:rsidRDefault="00A77DA0" w:rsidP="00A77DA0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698" w:type="dxa"/>
          </w:tcPr>
          <w:p w14:paraId="652114F3" w14:textId="100CB605" w:rsidR="00A77DA0" w:rsidRPr="0003596F" w:rsidRDefault="00A77DA0" w:rsidP="00A77DA0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412D88B7" w14:textId="78C4CA56" w:rsidR="00A77DA0" w:rsidRPr="0072334D" w:rsidRDefault="00A77DA0" w:rsidP="00A77DA0">
            <w:pPr>
              <w:pStyle w:val="NoSpacing"/>
              <w:rPr>
                <w:bCs/>
                <w:iCs/>
              </w:rPr>
            </w:pPr>
            <w:r w:rsidRPr="00A77DA0">
              <w:rPr>
                <w:bCs/>
                <w:iCs/>
              </w:rPr>
              <w:t>Analysis of the laboratory scale experimental data, and the control experiments data</w:t>
            </w:r>
          </w:p>
        </w:tc>
        <w:tc>
          <w:tcPr>
            <w:tcW w:w="2341" w:type="dxa"/>
            <w:shd w:val="clear" w:color="auto" w:fill="auto"/>
          </w:tcPr>
          <w:p w14:paraId="0AE2B78A" w14:textId="0D5F0CBC" w:rsidR="00A77DA0" w:rsidRPr="0072334D" w:rsidRDefault="00A77DA0" w:rsidP="00A77DA0">
            <w:pPr>
              <w:pStyle w:val="NoSpacing"/>
              <w:rPr>
                <w:bCs/>
                <w:iCs/>
              </w:rPr>
            </w:pPr>
            <w:r w:rsidRPr="00476486">
              <w:t>Results to be included in the quarterly report</w:t>
            </w:r>
          </w:p>
        </w:tc>
        <w:tc>
          <w:tcPr>
            <w:tcW w:w="1155" w:type="dxa"/>
            <w:shd w:val="clear" w:color="auto" w:fill="auto"/>
          </w:tcPr>
          <w:p w14:paraId="36A7E18E" w14:textId="57295E43" w:rsidR="00A77DA0" w:rsidRPr="0003596F" w:rsidRDefault="00A5678C" w:rsidP="00A77DA0">
            <w:pPr>
              <w:pStyle w:val="NoSpacing"/>
              <w:rPr>
                <w:bCs/>
                <w:iCs/>
              </w:rPr>
            </w:pPr>
            <w:r>
              <w:t>$</w:t>
            </w:r>
            <w:r w:rsidR="00A77DA0" w:rsidRPr="00476486">
              <w:t xml:space="preserve">3,258 </w:t>
            </w:r>
          </w:p>
        </w:tc>
        <w:tc>
          <w:tcPr>
            <w:tcW w:w="1007" w:type="dxa"/>
            <w:shd w:val="clear" w:color="auto" w:fill="auto"/>
          </w:tcPr>
          <w:p w14:paraId="6184D5CE" w14:textId="77DD6D2F" w:rsidR="00A77DA0" w:rsidRPr="0003596F" w:rsidRDefault="00A5678C" w:rsidP="00A77DA0">
            <w:pPr>
              <w:pStyle w:val="NoSpacing"/>
              <w:rPr>
                <w:bCs/>
                <w:iCs/>
              </w:rPr>
            </w:pPr>
            <w:r>
              <w:t>$</w:t>
            </w:r>
            <w:r w:rsidR="00A77DA0" w:rsidRPr="00476486">
              <w:t xml:space="preserve">3,258 </w:t>
            </w:r>
          </w:p>
        </w:tc>
      </w:tr>
    </w:tbl>
    <w:p w14:paraId="4FD04FDB" w14:textId="77777777" w:rsidR="00F778C8" w:rsidRDefault="00F778C8">
      <w:pPr>
        <w:rPr>
          <w:b/>
        </w:rPr>
      </w:pPr>
      <w:r>
        <w:rPr>
          <w:b/>
        </w:rPr>
        <w:br w:type="page"/>
      </w:r>
    </w:p>
    <w:p w14:paraId="38DC98E5" w14:textId="7EA09421" w:rsidR="00C52D47" w:rsidRPr="00A865FD" w:rsidRDefault="00901968" w:rsidP="00C52D47">
      <w:pPr>
        <w:pStyle w:val="NoSpacing"/>
        <w:rPr>
          <w:bCs/>
        </w:rPr>
      </w:pPr>
      <w:r>
        <w:rPr>
          <w:b/>
        </w:rPr>
        <w:lastRenderedPageBreak/>
        <w:t xml:space="preserve">3: </w:t>
      </w:r>
      <w:r w:rsidR="00C52D47">
        <w:rPr>
          <w:b/>
        </w:rPr>
        <w:t xml:space="preserve">Project Financial Tracking </w:t>
      </w:r>
      <w:r w:rsidR="00C52D47" w:rsidRPr="00A7663D">
        <w:rPr>
          <w:b/>
        </w:rPr>
        <w:t>During this Quarterly Period:</w:t>
      </w:r>
      <w:r w:rsidR="00A865FD">
        <w:rPr>
          <w:b/>
        </w:rPr>
        <w:t xml:space="preserve"> </w:t>
      </w:r>
      <w:bookmarkStart w:id="2" w:name="_Hlk153883811"/>
    </w:p>
    <w:bookmarkEnd w:id="2"/>
    <w:p w14:paraId="41C8F396" w14:textId="77777777" w:rsidR="00E700A5" w:rsidRPr="00A865FD" w:rsidRDefault="00E700A5" w:rsidP="00C52D47">
      <w:pPr>
        <w:pStyle w:val="NoSpacing"/>
        <w:rPr>
          <w:bCs/>
        </w:rPr>
      </w:pPr>
    </w:p>
    <w:p w14:paraId="6A8CC11A" w14:textId="4CCD4241" w:rsidR="005C2A3C" w:rsidRPr="0003596F" w:rsidRDefault="00FF439B" w:rsidP="0054195E">
      <w:pPr>
        <w:pStyle w:val="NoSpacing"/>
        <w:rPr>
          <w:iCs/>
          <w:color w:val="000000"/>
          <w:sz w:val="22"/>
        </w:rPr>
      </w:pPr>
      <w:r w:rsidRPr="0003596F">
        <w:rPr>
          <w:iCs/>
          <w:color w:val="000000"/>
          <w:sz w:val="22"/>
        </w:rPr>
        <w:t>Note that this chart reflects Federal share only.</w:t>
      </w:r>
      <w:r w:rsidR="00F60F63" w:rsidRPr="0003596F">
        <w:rPr>
          <w:iCs/>
          <w:color w:val="000000"/>
          <w:sz w:val="22"/>
        </w:rPr>
        <w:t xml:space="preserve"> </w:t>
      </w:r>
    </w:p>
    <w:p w14:paraId="72A3D3EC" w14:textId="77777777" w:rsidR="00D76572" w:rsidRDefault="00D76572" w:rsidP="0054195E">
      <w:pPr>
        <w:pStyle w:val="NoSpacing"/>
        <w:rPr>
          <w:sz w:val="22"/>
        </w:rPr>
      </w:pPr>
    </w:p>
    <w:p w14:paraId="71C17A10" w14:textId="6594D8AE" w:rsidR="00773395" w:rsidRDefault="00EA034D" w:rsidP="00773395">
      <w:r>
        <w:rPr>
          <w:noProof/>
        </w:rPr>
        <w:drawing>
          <wp:inline distT="0" distB="0" distL="0" distR="0" wp14:anchorId="3F7F9F67" wp14:editId="1A4986EC">
            <wp:extent cx="5943600" cy="5138928"/>
            <wp:effectExtent l="0" t="0" r="0" b="5080"/>
            <wp:docPr id="2048769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8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B940D" w14:textId="1CFF38A9" w:rsidR="00E47415" w:rsidRPr="006131B8" w:rsidRDefault="00E47415" w:rsidP="00E47415">
      <w:pPr>
        <w:pStyle w:val="NoSpacing"/>
        <w:jc w:val="center"/>
        <w:rPr>
          <w:sz w:val="22"/>
        </w:rPr>
      </w:pPr>
    </w:p>
    <w:p w14:paraId="48C61295" w14:textId="5DFC0F33" w:rsidR="005C2A3C" w:rsidRDefault="00717A3E" w:rsidP="0054195E">
      <w:pPr>
        <w:pStyle w:val="NoSpacing"/>
        <w:rPr>
          <w:b/>
        </w:rPr>
      </w:pPr>
      <w:r>
        <w:rPr>
          <w:b/>
        </w:rPr>
        <w:t xml:space="preserve">4:  </w:t>
      </w:r>
      <w:r w:rsidR="00901968">
        <w:rPr>
          <w:b/>
        </w:rPr>
        <w:t xml:space="preserve">Project </w:t>
      </w:r>
      <w:r w:rsidR="005C2A3C" w:rsidRPr="001127DB">
        <w:rPr>
          <w:b/>
        </w:rPr>
        <w:t>Technical Status</w:t>
      </w:r>
      <w:r w:rsidR="003E3910">
        <w:rPr>
          <w:b/>
        </w:rPr>
        <w:t>:</w:t>
      </w:r>
    </w:p>
    <w:p w14:paraId="207E73AF" w14:textId="77777777" w:rsidR="00BD5D2D" w:rsidRDefault="00BD5D2D" w:rsidP="00F63031">
      <w:pPr>
        <w:pStyle w:val="NoSpacing"/>
        <w:rPr>
          <w:iCs/>
          <w:sz w:val="22"/>
          <w:szCs w:val="22"/>
        </w:rPr>
      </w:pPr>
      <w:bookmarkStart w:id="3" w:name="_Hlk123037814"/>
    </w:p>
    <w:p w14:paraId="6CA074D4" w14:textId="21677C9D" w:rsidR="00570833" w:rsidRDefault="00BD5D2D" w:rsidP="00570833">
      <w:pPr>
        <w:pStyle w:val="NoSpacing"/>
        <w:rPr>
          <w:iCs/>
          <w:sz w:val="22"/>
          <w:szCs w:val="22"/>
        </w:rPr>
      </w:pPr>
      <w:r w:rsidRPr="00215665">
        <w:rPr>
          <w:b/>
          <w:bCs/>
          <w:iCs/>
          <w:sz w:val="22"/>
        </w:rPr>
        <w:t xml:space="preserve">Item 16, Task 4 </w:t>
      </w:r>
      <w:r w:rsidRPr="00215665">
        <w:rPr>
          <w:b/>
          <w:bCs/>
          <w:iCs/>
          <w:sz w:val="22"/>
          <w:szCs w:val="22"/>
        </w:rPr>
        <w:sym w:font="Symbol" w:char="F0BE"/>
      </w:r>
      <w:r w:rsidRPr="00215665">
        <w:rPr>
          <w:b/>
          <w:bCs/>
          <w:iCs/>
          <w:sz w:val="22"/>
          <w:szCs w:val="22"/>
        </w:rPr>
        <w:t xml:space="preserve"> Collection of the laboratory experimental data, control experiment data, and retrieval of the coupons, ER probes, and UT-based mass-loss coupons</w:t>
      </w:r>
      <w:r w:rsidR="00FA2134">
        <w:rPr>
          <w:iCs/>
          <w:sz w:val="22"/>
          <w:szCs w:val="22"/>
        </w:rPr>
        <w:t>.</w:t>
      </w:r>
      <w:r w:rsidRPr="00461DD2">
        <w:rPr>
          <w:iCs/>
          <w:sz w:val="22"/>
          <w:szCs w:val="22"/>
        </w:rPr>
        <w:t xml:space="preserve"> </w:t>
      </w:r>
      <w:r w:rsidRPr="00461DD2">
        <w:rPr>
          <w:bCs/>
          <w:iCs/>
          <w:sz w:val="22"/>
          <w:szCs w:val="22"/>
        </w:rPr>
        <w:t>Summary of the data retrieved from various testing included in the quarterly report</w:t>
      </w:r>
      <w:r w:rsidRPr="0003596F">
        <w:rPr>
          <w:iCs/>
          <w:sz w:val="22"/>
        </w:rPr>
        <w:t xml:space="preserve">:  </w:t>
      </w:r>
      <w:r>
        <w:rPr>
          <w:iCs/>
          <w:sz w:val="22"/>
        </w:rPr>
        <w:t>The monitoring data from the laboratory experiments is available and has been analyzed</w:t>
      </w:r>
      <w:r w:rsidRPr="0003596F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 </w:t>
      </w:r>
      <w:r w:rsidR="00616431">
        <w:rPr>
          <w:iCs/>
          <w:sz w:val="22"/>
          <w:szCs w:val="22"/>
        </w:rPr>
        <w:t>The monitoring data show</w:t>
      </w:r>
      <w:r w:rsidR="00FA2134">
        <w:rPr>
          <w:iCs/>
          <w:sz w:val="22"/>
          <w:szCs w:val="22"/>
        </w:rPr>
        <w:t xml:space="preserve"> that the</w:t>
      </w:r>
      <w:r w:rsidR="00616431">
        <w:rPr>
          <w:iCs/>
          <w:sz w:val="22"/>
          <w:szCs w:val="22"/>
        </w:rPr>
        <w:t xml:space="preserve"> effect of the VCI in the cone-up configuration is </w:t>
      </w:r>
      <w:proofErr w:type="gramStart"/>
      <w:r w:rsidR="00FA2134">
        <w:rPr>
          <w:iCs/>
          <w:sz w:val="22"/>
          <w:szCs w:val="22"/>
        </w:rPr>
        <w:t>similar</w:t>
      </w:r>
      <w:r w:rsidR="00616431">
        <w:rPr>
          <w:iCs/>
          <w:sz w:val="22"/>
          <w:szCs w:val="22"/>
        </w:rPr>
        <w:t xml:space="preserve"> to</w:t>
      </w:r>
      <w:proofErr w:type="gramEnd"/>
      <w:r w:rsidR="00616431">
        <w:rPr>
          <w:iCs/>
          <w:sz w:val="22"/>
          <w:szCs w:val="22"/>
        </w:rPr>
        <w:t xml:space="preserve"> the flat tank bed.  </w:t>
      </w:r>
      <w:r w:rsidR="00FA2134">
        <w:rPr>
          <w:iCs/>
          <w:sz w:val="22"/>
          <w:szCs w:val="22"/>
        </w:rPr>
        <w:t>M</w:t>
      </w:r>
      <w:r>
        <w:rPr>
          <w:iCs/>
          <w:sz w:val="22"/>
          <w:szCs w:val="22"/>
        </w:rPr>
        <w:t xml:space="preserve">onitoring data from the control-part of the large-scale experiments, i.e., without VCI injection, are also available and has been analyzed.  </w:t>
      </w:r>
      <w:r w:rsidR="00616431">
        <w:rPr>
          <w:iCs/>
          <w:sz w:val="22"/>
          <w:szCs w:val="22"/>
        </w:rPr>
        <w:t>The monitoring data from the large-scale experiments showed steady corrosion on the ER probes.  In addition</w:t>
      </w:r>
      <w:r>
        <w:rPr>
          <w:iCs/>
          <w:sz w:val="22"/>
          <w:szCs w:val="22"/>
        </w:rPr>
        <w:t xml:space="preserve">, the coupons placed during the start of the large-scale experiments have been retrieved.  The control-coupons </w:t>
      </w:r>
      <w:r w:rsidR="00616431">
        <w:rPr>
          <w:iCs/>
          <w:sz w:val="22"/>
          <w:szCs w:val="22"/>
        </w:rPr>
        <w:t>were retrieved</w:t>
      </w:r>
      <w:r>
        <w:rPr>
          <w:iCs/>
          <w:sz w:val="22"/>
          <w:szCs w:val="22"/>
        </w:rPr>
        <w:t xml:space="preserve"> when VCIs </w:t>
      </w:r>
      <w:r w:rsidR="00616431">
        <w:rPr>
          <w:iCs/>
          <w:sz w:val="22"/>
          <w:szCs w:val="22"/>
        </w:rPr>
        <w:t>were</w:t>
      </w:r>
      <w:r>
        <w:rPr>
          <w:iCs/>
          <w:sz w:val="22"/>
          <w:szCs w:val="22"/>
        </w:rPr>
        <w:t xml:space="preserve"> injected.  In the first large-scale experiment, the coupons </w:t>
      </w:r>
      <w:r w:rsidR="00616431">
        <w:rPr>
          <w:iCs/>
          <w:sz w:val="22"/>
          <w:szCs w:val="22"/>
        </w:rPr>
        <w:t>were retrieved</w:t>
      </w:r>
      <w:r>
        <w:rPr>
          <w:iCs/>
          <w:sz w:val="22"/>
          <w:szCs w:val="22"/>
        </w:rPr>
        <w:t xml:space="preserve"> during the first month of </w:t>
      </w:r>
      <w:r w:rsidR="00616431">
        <w:rPr>
          <w:iCs/>
          <w:sz w:val="22"/>
          <w:szCs w:val="22"/>
        </w:rPr>
        <w:t>this</w:t>
      </w:r>
      <w:r>
        <w:rPr>
          <w:iCs/>
          <w:sz w:val="22"/>
          <w:szCs w:val="22"/>
        </w:rPr>
        <w:t xml:space="preserve"> quarter (7</w:t>
      </w:r>
      <w:r w:rsidRPr="00461DD2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).  </w:t>
      </w:r>
      <w:r w:rsidR="00616431">
        <w:rPr>
          <w:iCs/>
          <w:sz w:val="22"/>
          <w:szCs w:val="22"/>
        </w:rPr>
        <w:t xml:space="preserve">Similarly, the control coupons were also retrieved from the second large-scale experiments prior to VCI injection.  The coupons </w:t>
      </w:r>
      <w:r w:rsidR="009F1CA4">
        <w:rPr>
          <w:iCs/>
          <w:sz w:val="22"/>
          <w:szCs w:val="22"/>
        </w:rPr>
        <w:t xml:space="preserve">have </w:t>
      </w:r>
      <w:r w:rsidR="00616431">
        <w:rPr>
          <w:iCs/>
          <w:sz w:val="22"/>
          <w:szCs w:val="22"/>
        </w:rPr>
        <w:t xml:space="preserve">exhibited significant </w:t>
      </w:r>
      <w:r w:rsidR="00616431">
        <w:rPr>
          <w:iCs/>
          <w:sz w:val="22"/>
          <w:szCs w:val="22"/>
        </w:rPr>
        <w:lastRenderedPageBreak/>
        <w:t>corrosion.</w:t>
      </w:r>
      <w:r w:rsidR="00570833">
        <w:rPr>
          <w:iCs/>
          <w:sz w:val="22"/>
          <w:szCs w:val="22"/>
        </w:rPr>
        <w:t xml:space="preserve">  </w:t>
      </w:r>
      <w:r w:rsidR="00570833" w:rsidRPr="0003596F">
        <w:rPr>
          <w:iCs/>
          <w:sz w:val="22"/>
        </w:rPr>
        <w:t xml:space="preserve">This item </w:t>
      </w:r>
      <w:r w:rsidR="00570833">
        <w:rPr>
          <w:iCs/>
          <w:sz w:val="22"/>
        </w:rPr>
        <w:t xml:space="preserve">broadly </w:t>
      </w:r>
      <w:r w:rsidR="00570833" w:rsidRPr="0003596F">
        <w:rPr>
          <w:iCs/>
          <w:sz w:val="22"/>
        </w:rPr>
        <w:t>links to item</w:t>
      </w:r>
      <w:r w:rsidR="00570833">
        <w:rPr>
          <w:iCs/>
          <w:sz w:val="22"/>
        </w:rPr>
        <w:t>s 8 and 9</w:t>
      </w:r>
      <w:r w:rsidR="00570833" w:rsidRPr="0003596F">
        <w:rPr>
          <w:iCs/>
          <w:sz w:val="22"/>
        </w:rPr>
        <w:t xml:space="preserve"> </w:t>
      </w:r>
      <w:r w:rsidR="00570833">
        <w:rPr>
          <w:iCs/>
          <w:sz w:val="22"/>
        </w:rPr>
        <w:t>i</w:t>
      </w:r>
      <w:r w:rsidR="00570833" w:rsidRPr="0003596F">
        <w:rPr>
          <w:iCs/>
          <w:sz w:val="22"/>
        </w:rPr>
        <w:t xml:space="preserve">n Attachment 1 Team Project Activities.  This item also links to item </w:t>
      </w:r>
      <w:r w:rsidR="00570833">
        <w:rPr>
          <w:iCs/>
          <w:sz w:val="22"/>
        </w:rPr>
        <w:t>8</w:t>
      </w:r>
      <w:r w:rsidR="00570833" w:rsidRPr="0003596F">
        <w:rPr>
          <w:iCs/>
          <w:sz w:val="22"/>
        </w:rPr>
        <w:t xml:space="preserve"> </w:t>
      </w:r>
      <w:r w:rsidR="00570833" w:rsidRPr="0003596F">
        <w:rPr>
          <w:iCs/>
          <w:sz w:val="22"/>
          <w:szCs w:val="22"/>
        </w:rPr>
        <w:t>in Attachment 2 Project Deliverables.</w:t>
      </w:r>
    </w:p>
    <w:p w14:paraId="344A8617" w14:textId="77777777" w:rsidR="00616431" w:rsidRDefault="00616431" w:rsidP="00616431">
      <w:pPr>
        <w:pStyle w:val="NoSpacing"/>
        <w:rPr>
          <w:i/>
          <w:sz w:val="22"/>
        </w:rPr>
      </w:pPr>
    </w:p>
    <w:p w14:paraId="2D9CF9FF" w14:textId="160B9466" w:rsidR="008B3CED" w:rsidRDefault="00A5678C" w:rsidP="008B3CED">
      <w:pPr>
        <w:pStyle w:val="NoSpacing"/>
        <w:rPr>
          <w:iCs/>
          <w:sz w:val="22"/>
          <w:szCs w:val="22"/>
        </w:rPr>
      </w:pPr>
      <w:r w:rsidRPr="00215665">
        <w:rPr>
          <w:b/>
          <w:bCs/>
          <w:iCs/>
          <w:sz w:val="22"/>
        </w:rPr>
        <w:t xml:space="preserve">Item 20, Task 2 </w:t>
      </w:r>
      <w:r w:rsidRPr="00215665">
        <w:rPr>
          <w:b/>
          <w:bCs/>
          <w:iCs/>
          <w:sz w:val="22"/>
          <w:szCs w:val="22"/>
        </w:rPr>
        <w:sym w:font="Symbol" w:char="F0BE"/>
      </w:r>
      <w:r w:rsidRPr="00215665">
        <w:rPr>
          <w:b/>
          <w:bCs/>
          <w:iCs/>
          <w:sz w:val="22"/>
          <w:szCs w:val="22"/>
        </w:rPr>
        <w:t xml:space="preserve"> Analysis of the monitoring data to determine the inspection intervals</w:t>
      </w:r>
      <w:r w:rsidR="00FA2134">
        <w:rPr>
          <w:b/>
          <w:bCs/>
          <w:iCs/>
          <w:sz w:val="22"/>
          <w:szCs w:val="22"/>
        </w:rPr>
        <w:t>.</w:t>
      </w:r>
      <w:r w:rsidRPr="00461DD2">
        <w:rPr>
          <w:iCs/>
          <w:sz w:val="22"/>
          <w:szCs w:val="22"/>
        </w:rPr>
        <w:t xml:space="preserve"> </w:t>
      </w:r>
      <w:r w:rsidRPr="00A5678C">
        <w:rPr>
          <w:bCs/>
          <w:iCs/>
          <w:sz w:val="22"/>
          <w:szCs w:val="22"/>
        </w:rPr>
        <w:t>Results to be included in the quarterly report</w:t>
      </w:r>
      <w:r w:rsidRPr="0003596F">
        <w:rPr>
          <w:iCs/>
          <w:sz w:val="22"/>
        </w:rPr>
        <w:t xml:space="preserve">:  </w:t>
      </w:r>
      <w:r>
        <w:rPr>
          <w:iCs/>
          <w:sz w:val="22"/>
        </w:rPr>
        <w:t xml:space="preserve">The monitoring data </w:t>
      </w:r>
      <w:r w:rsidR="00156B54">
        <w:rPr>
          <w:iCs/>
          <w:sz w:val="22"/>
        </w:rPr>
        <w:t>from three tanks were analyzed to estimate inspection inter</w:t>
      </w:r>
      <w:r w:rsidR="00FA2134">
        <w:rPr>
          <w:iCs/>
          <w:sz w:val="22"/>
        </w:rPr>
        <w:t>v</w:t>
      </w:r>
      <w:r w:rsidR="00156B54">
        <w:rPr>
          <w:iCs/>
          <w:sz w:val="22"/>
        </w:rPr>
        <w:t>al as per API 653</w:t>
      </w:r>
      <w:r>
        <w:rPr>
          <w:iCs/>
          <w:sz w:val="22"/>
          <w:szCs w:val="22"/>
        </w:rPr>
        <w:t>.</w:t>
      </w:r>
      <w:r w:rsidR="00156B54">
        <w:rPr>
          <w:iCs/>
          <w:sz w:val="22"/>
          <w:szCs w:val="22"/>
        </w:rPr>
        <w:t xml:space="preserve">  </w:t>
      </w:r>
      <w:r w:rsidR="00212A4A">
        <w:rPr>
          <w:iCs/>
          <w:sz w:val="22"/>
          <w:szCs w:val="22"/>
        </w:rPr>
        <w:t>The monitoring data were analyzed for three tanks</w:t>
      </w:r>
      <w:r w:rsidR="00FA2134">
        <w:rPr>
          <w:iCs/>
          <w:sz w:val="22"/>
          <w:szCs w:val="22"/>
        </w:rPr>
        <w:t xml:space="preserve">: </w:t>
      </w:r>
      <w:r w:rsidR="00212A4A">
        <w:rPr>
          <w:iCs/>
          <w:sz w:val="22"/>
          <w:szCs w:val="22"/>
        </w:rPr>
        <w:t xml:space="preserve">two tanks with </w:t>
      </w:r>
      <w:r w:rsidR="00FA2134">
        <w:rPr>
          <w:iCs/>
          <w:sz w:val="22"/>
          <w:szCs w:val="22"/>
        </w:rPr>
        <w:t xml:space="preserve">indications of </w:t>
      </w:r>
      <w:r w:rsidR="00212A4A">
        <w:rPr>
          <w:iCs/>
          <w:sz w:val="22"/>
          <w:szCs w:val="22"/>
        </w:rPr>
        <w:t>severe soil-side corrosion and one tank with minimal</w:t>
      </w:r>
      <w:r w:rsidR="00FA2134">
        <w:rPr>
          <w:iCs/>
          <w:sz w:val="22"/>
          <w:szCs w:val="22"/>
        </w:rPr>
        <w:t xml:space="preserve"> indication of</w:t>
      </w:r>
      <w:r w:rsidR="00212A4A">
        <w:rPr>
          <w:iCs/>
          <w:sz w:val="22"/>
          <w:szCs w:val="22"/>
        </w:rPr>
        <w:t xml:space="preserve"> soil-side corrosion.  </w:t>
      </w:r>
      <w:r w:rsidR="00156B54">
        <w:rPr>
          <w:iCs/>
          <w:sz w:val="22"/>
          <w:szCs w:val="22"/>
        </w:rPr>
        <w:t xml:space="preserve">For the first </w:t>
      </w:r>
      <w:r w:rsidR="00212A4A">
        <w:rPr>
          <w:iCs/>
          <w:sz w:val="22"/>
          <w:szCs w:val="22"/>
        </w:rPr>
        <w:t xml:space="preserve">two </w:t>
      </w:r>
      <w:r w:rsidR="00156B54">
        <w:rPr>
          <w:iCs/>
          <w:sz w:val="22"/>
          <w:szCs w:val="22"/>
        </w:rPr>
        <w:t>tank</w:t>
      </w:r>
      <w:r w:rsidR="00212A4A">
        <w:rPr>
          <w:iCs/>
          <w:sz w:val="22"/>
          <w:szCs w:val="22"/>
        </w:rPr>
        <w:t>s with severe soil-side corrosion</w:t>
      </w:r>
      <w:r w:rsidR="00156B54">
        <w:rPr>
          <w:iCs/>
          <w:sz w:val="22"/>
          <w:szCs w:val="22"/>
        </w:rPr>
        <w:t xml:space="preserve">, the soil-side indications in the API 653 inspection reports had significant corrosion, and the targeted monitoring data at four locations also exhibited comparable corrosion.  </w:t>
      </w:r>
      <w:r w:rsidR="00212A4A">
        <w:rPr>
          <w:iCs/>
          <w:sz w:val="22"/>
          <w:szCs w:val="22"/>
        </w:rPr>
        <w:t>The tank inspection inter</w:t>
      </w:r>
      <w:r w:rsidR="00FA2134">
        <w:rPr>
          <w:iCs/>
          <w:sz w:val="22"/>
          <w:szCs w:val="22"/>
        </w:rPr>
        <w:t>v</w:t>
      </w:r>
      <w:r w:rsidR="00212A4A">
        <w:rPr>
          <w:iCs/>
          <w:sz w:val="22"/>
          <w:szCs w:val="22"/>
        </w:rPr>
        <w:t>al</w:t>
      </w:r>
      <w:r w:rsidR="00FA2134">
        <w:rPr>
          <w:iCs/>
          <w:sz w:val="22"/>
          <w:szCs w:val="22"/>
        </w:rPr>
        <w:t>s were</w:t>
      </w:r>
      <w:r w:rsidR="00212A4A">
        <w:rPr>
          <w:iCs/>
          <w:sz w:val="22"/>
          <w:szCs w:val="22"/>
        </w:rPr>
        <w:t xml:space="preserve"> </w:t>
      </w:r>
      <w:r w:rsidR="00DE33B2">
        <w:rPr>
          <w:iCs/>
          <w:sz w:val="22"/>
          <w:szCs w:val="22"/>
        </w:rPr>
        <w:t xml:space="preserve">calculated using the monitoring </w:t>
      </w:r>
      <w:r w:rsidR="00FA2134">
        <w:rPr>
          <w:iCs/>
          <w:sz w:val="22"/>
          <w:szCs w:val="22"/>
        </w:rPr>
        <w:t>data and</w:t>
      </w:r>
      <w:r w:rsidR="00DE33B2">
        <w:rPr>
          <w:iCs/>
          <w:sz w:val="22"/>
          <w:szCs w:val="22"/>
        </w:rPr>
        <w:t xml:space="preserve"> were within the range of the pre-repair inspection interval</w:t>
      </w:r>
      <w:r w:rsidR="00FA2134">
        <w:rPr>
          <w:iCs/>
          <w:sz w:val="22"/>
          <w:szCs w:val="22"/>
        </w:rPr>
        <w:t>s</w:t>
      </w:r>
      <w:r w:rsidR="00DE33B2">
        <w:rPr>
          <w:iCs/>
          <w:sz w:val="22"/>
          <w:szCs w:val="22"/>
        </w:rPr>
        <w:t xml:space="preserve"> reported in API 653 reports of the respective tanks.  For the third tank, the soil-side corrosion indications were not severe and </w:t>
      </w:r>
      <w:r w:rsidR="00FA2134">
        <w:rPr>
          <w:iCs/>
          <w:sz w:val="22"/>
          <w:szCs w:val="22"/>
        </w:rPr>
        <w:t xml:space="preserve">the </w:t>
      </w:r>
      <w:r w:rsidR="00DE33B2">
        <w:rPr>
          <w:iCs/>
          <w:sz w:val="22"/>
          <w:szCs w:val="22"/>
        </w:rPr>
        <w:t>same was observed in the coupons that were placed under the tanks.  For the third tank, the monitoring-based inspection intervals were also with</w:t>
      </w:r>
      <w:r w:rsidR="00FA2134">
        <w:rPr>
          <w:iCs/>
          <w:sz w:val="22"/>
          <w:szCs w:val="22"/>
        </w:rPr>
        <w:t>in</w:t>
      </w:r>
      <w:r w:rsidR="00DE33B2">
        <w:rPr>
          <w:iCs/>
          <w:sz w:val="22"/>
          <w:szCs w:val="22"/>
        </w:rPr>
        <w:t xml:space="preserve"> the range of the values listed in the API 653 inspection report.</w:t>
      </w:r>
      <w:r w:rsidR="008B3CED">
        <w:rPr>
          <w:iCs/>
          <w:sz w:val="22"/>
          <w:szCs w:val="22"/>
        </w:rPr>
        <w:t xml:space="preserve">  The key </w:t>
      </w:r>
      <w:proofErr w:type="gramStart"/>
      <w:r w:rsidR="008B3CED">
        <w:rPr>
          <w:iCs/>
          <w:sz w:val="22"/>
          <w:szCs w:val="22"/>
        </w:rPr>
        <w:t>take</w:t>
      </w:r>
      <w:proofErr w:type="gramEnd"/>
      <w:r w:rsidR="008B3CED">
        <w:rPr>
          <w:iCs/>
          <w:sz w:val="22"/>
          <w:szCs w:val="22"/>
        </w:rPr>
        <w:t xml:space="preserve"> away</w:t>
      </w:r>
      <w:r w:rsidR="00FA2134">
        <w:rPr>
          <w:iCs/>
          <w:sz w:val="22"/>
          <w:szCs w:val="22"/>
        </w:rPr>
        <w:t xml:space="preserve">: </w:t>
      </w:r>
      <w:r w:rsidR="008B3CED">
        <w:rPr>
          <w:iCs/>
          <w:sz w:val="22"/>
          <w:szCs w:val="22"/>
        </w:rPr>
        <w:t xml:space="preserve">effective monitoring provides a reasonable estimate of the inspection interval.  </w:t>
      </w:r>
      <w:r w:rsidR="008B3CED" w:rsidRPr="0003596F">
        <w:rPr>
          <w:iCs/>
          <w:sz w:val="22"/>
        </w:rPr>
        <w:t>This item links to item</w:t>
      </w:r>
      <w:r w:rsidR="008B3CED">
        <w:rPr>
          <w:iCs/>
          <w:sz w:val="22"/>
        </w:rPr>
        <w:t xml:space="preserve"> 9</w:t>
      </w:r>
      <w:r w:rsidR="00570833">
        <w:rPr>
          <w:iCs/>
          <w:sz w:val="22"/>
        </w:rPr>
        <w:t>(e)</w:t>
      </w:r>
      <w:r w:rsidR="008B3CED" w:rsidRPr="0003596F">
        <w:rPr>
          <w:iCs/>
          <w:sz w:val="22"/>
        </w:rPr>
        <w:t xml:space="preserve"> </w:t>
      </w:r>
      <w:r w:rsidR="008B3CED">
        <w:rPr>
          <w:iCs/>
          <w:sz w:val="22"/>
        </w:rPr>
        <w:t>i</w:t>
      </w:r>
      <w:r w:rsidR="008B3CED" w:rsidRPr="0003596F">
        <w:rPr>
          <w:iCs/>
          <w:sz w:val="22"/>
        </w:rPr>
        <w:t xml:space="preserve">n Attachment 1 Team Project Activities.  This item also links to item </w:t>
      </w:r>
      <w:r w:rsidR="008B3CED">
        <w:rPr>
          <w:iCs/>
          <w:sz w:val="22"/>
        </w:rPr>
        <w:t>9</w:t>
      </w:r>
      <w:r w:rsidR="008B3CED" w:rsidRPr="0003596F">
        <w:rPr>
          <w:iCs/>
          <w:sz w:val="22"/>
        </w:rPr>
        <w:t xml:space="preserve"> </w:t>
      </w:r>
      <w:r w:rsidR="008B3CED" w:rsidRPr="0003596F">
        <w:rPr>
          <w:iCs/>
          <w:sz w:val="22"/>
          <w:szCs w:val="22"/>
        </w:rPr>
        <w:t>in Attachment 2 Project Deliverables.</w:t>
      </w:r>
    </w:p>
    <w:p w14:paraId="34E8DF1A" w14:textId="77777777" w:rsidR="00A5678C" w:rsidRDefault="00A5678C" w:rsidP="00616431">
      <w:pPr>
        <w:pStyle w:val="NoSpacing"/>
        <w:rPr>
          <w:i/>
          <w:sz w:val="22"/>
        </w:rPr>
      </w:pPr>
    </w:p>
    <w:p w14:paraId="2A06DD33" w14:textId="306C9DD9" w:rsidR="00616431" w:rsidRDefault="00616431" w:rsidP="00616431">
      <w:pPr>
        <w:pStyle w:val="NoSpacing"/>
        <w:rPr>
          <w:iCs/>
          <w:sz w:val="22"/>
          <w:szCs w:val="22"/>
        </w:rPr>
      </w:pPr>
      <w:r w:rsidRPr="00215665">
        <w:rPr>
          <w:b/>
          <w:bCs/>
          <w:iCs/>
          <w:sz w:val="22"/>
        </w:rPr>
        <w:t xml:space="preserve">Item </w:t>
      </w:r>
      <w:r w:rsidR="00A5678C" w:rsidRPr="00215665">
        <w:rPr>
          <w:b/>
          <w:bCs/>
          <w:iCs/>
          <w:sz w:val="22"/>
        </w:rPr>
        <w:t>21</w:t>
      </w:r>
      <w:r w:rsidRPr="00215665">
        <w:rPr>
          <w:b/>
          <w:bCs/>
          <w:iCs/>
          <w:sz w:val="22"/>
        </w:rPr>
        <w:t xml:space="preserve">, Task 5 </w:t>
      </w:r>
      <w:r w:rsidRPr="00215665">
        <w:rPr>
          <w:rFonts w:ascii="Symbol" w:eastAsia="Symbol" w:hAnsi="Symbol" w:cs="Symbol"/>
          <w:b/>
          <w:bCs/>
          <w:iCs/>
          <w:sz w:val="22"/>
        </w:rPr>
        <w:t></w:t>
      </w:r>
      <w:r w:rsidRPr="00215665">
        <w:rPr>
          <w:b/>
          <w:bCs/>
          <w:iCs/>
          <w:sz w:val="22"/>
        </w:rPr>
        <w:t xml:space="preserve"> Quarterly Project Management &amp; Status Update Reporting</w:t>
      </w:r>
      <w:r w:rsidR="00FA2134">
        <w:rPr>
          <w:b/>
          <w:bCs/>
          <w:iCs/>
          <w:sz w:val="22"/>
        </w:rPr>
        <w:t>.</w:t>
      </w:r>
      <w:r w:rsidRPr="0003596F">
        <w:rPr>
          <w:iCs/>
          <w:sz w:val="22"/>
        </w:rPr>
        <w:t xml:space="preserve"> Submit </w:t>
      </w:r>
      <w:r w:rsidR="00A5678C">
        <w:rPr>
          <w:iCs/>
          <w:sz w:val="22"/>
        </w:rPr>
        <w:t>7</w:t>
      </w:r>
      <w:r w:rsidRPr="0003596F">
        <w:rPr>
          <w:iCs/>
          <w:sz w:val="22"/>
        </w:rPr>
        <w:t xml:space="preserve">th quarterly report:  The </w:t>
      </w:r>
      <w:r w:rsidR="00A5678C">
        <w:rPr>
          <w:iCs/>
          <w:sz w:val="22"/>
        </w:rPr>
        <w:t>7</w:t>
      </w:r>
      <w:r w:rsidRPr="0003596F">
        <w:rPr>
          <w:iCs/>
          <w:sz w:val="22"/>
        </w:rPr>
        <w:t>th quarter project meeting was held</w:t>
      </w:r>
      <w:r w:rsidR="00FA2134">
        <w:rPr>
          <w:iCs/>
          <w:sz w:val="22"/>
        </w:rPr>
        <w:t>.</w:t>
      </w:r>
      <w:r w:rsidRPr="0003596F">
        <w:rPr>
          <w:iCs/>
          <w:sz w:val="22"/>
        </w:rPr>
        <w:t xml:space="preserve"> This item has been completed.  This item links to items 10 and 12 in Attachment 1 Team Project Activities.  This item also links to item 10 </w:t>
      </w:r>
      <w:r w:rsidRPr="0003596F">
        <w:rPr>
          <w:iCs/>
          <w:sz w:val="22"/>
          <w:szCs w:val="22"/>
        </w:rPr>
        <w:t>in Attachment 2 Project Deliverables.</w:t>
      </w:r>
    </w:p>
    <w:p w14:paraId="3C1DCA1B" w14:textId="77777777" w:rsidR="00616431" w:rsidRPr="008F273C" w:rsidRDefault="00616431" w:rsidP="009A7CED">
      <w:pPr>
        <w:pStyle w:val="NoSpacing"/>
        <w:rPr>
          <w:i/>
          <w:sz w:val="22"/>
          <w:szCs w:val="22"/>
          <w:highlight w:val="yellow"/>
        </w:rPr>
      </w:pPr>
    </w:p>
    <w:bookmarkEnd w:id="3"/>
    <w:p w14:paraId="38CEA183" w14:textId="01CB90FA" w:rsidR="00C30BB3" w:rsidRDefault="003D7597" w:rsidP="0054195E">
      <w:pPr>
        <w:pStyle w:val="NoSpacing"/>
      </w:pPr>
      <w:r>
        <w:rPr>
          <w:b/>
        </w:rPr>
        <w:t xml:space="preserve">5: </w:t>
      </w:r>
      <w:r w:rsidR="00C30BB3">
        <w:rPr>
          <w:b/>
        </w:rPr>
        <w:t xml:space="preserve">Project </w:t>
      </w:r>
      <w:r w:rsidR="005C2A3C" w:rsidRPr="001127DB">
        <w:rPr>
          <w:b/>
        </w:rPr>
        <w:t>Schedule</w:t>
      </w:r>
      <w:r w:rsidR="00DA084C">
        <w:rPr>
          <w:b/>
        </w:rPr>
        <w:t>:</w:t>
      </w:r>
    </w:p>
    <w:p w14:paraId="0FB78278" w14:textId="67D7A472" w:rsidR="006E56AD" w:rsidRDefault="006E56AD" w:rsidP="0054195E">
      <w:pPr>
        <w:pStyle w:val="NoSpacing"/>
        <w:rPr>
          <w:i/>
          <w:sz w:val="22"/>
        </w:rPr>
      </w:pPr>
    </w:p>
    <w:p w14:paraId="3A92B359" w14:textId="62288BAE" w:rsidR="00DA084C" w:rsidRPr="0003596F" w:rsidRDefault="00461DD2" w:rsidP="00F60F63">
      <w:pPr>
        <w:pStyle w:val="NoSpacing"/>
        <w:rPr>
          <w:iCs/>
          <w:sz w:val="22"/>
        </w:rPr>
      </w:pPr>
      <w:r>
        <w:rPr>
          <w:iCs/>
          <w:sz w:val="22"/>
        </w:rPr>
        <w:t>The project is behind schedule, and</w:t>
      </w:r>
      <w:r w:rsidR="00FA2134">
        <w:rPr>
          <w:iCs/>
          <w:sz w:val="22"/>
        </w:rPr>
        <w:t xml:space="preserve"> a</w:t>
      </w:r>
      <w:r w:rsidR="00DE33B2">
        <w:rPr>
          <w:iCs/>
          <w:sz w:val="22"/>
        </w:rPr>
        <w:t xml:space="preserve"> 9-month no-cost</w:t>
      </w:r>
      <w:r>
        <w:rPr>
          <w:iCs/>
          <w:sz w:val="22"/>
        </w:rPr>
        <w:t xml:space="preserve"> extension request </w:t>
      </w:r>
      <w:r w:rsidR="00DE33B2">
        <w:rPr>
          <w:iCs/>
          <w:sz w:val="22"/>
        </w:rPr>
        <w:t>was submitted</w:t>
      </w:r>
      <w:r w:rsidR="00EA450E">
        <w:rPr>
          <w:iCs/>
          <w:sz w:val="22"/>
        </w:rPr>
        <w:t xml:space="preserve"> and approved</w:t>
      </w:r>
      <w:r w:rsidR="00BD5D2D">
        <w:rPr>
          <w:iCs/>
          <w:sz w:val="22"/>
        </w:rPr>
        <w:t>.</w:t>
      </w:r>
      <w:r w:rsidR="008B6203" w:rsidRPr="0003596F">
        <w:rPr>
          <w:iCs/>
          <w:sz w:val="22"/>
        </w:rPr>
        <w:t xml:space="preserve"> </w:t>
      </w:r>
    </w:p>
    <w:p w14:paraId="164CD7EA" w14:textId="77777777" w:rsidR="00C64EF2" w:rsidRDefault="00C64EF2" w:rsidP="00087CE4">
      <w:pPr>
        <w:jc w:val="center"/>
        <w:rPr>
          <w:iCs/>
          <w:sz w:val="22"/>
        </w:rPr>
      </w:pPr>
      <w:bookmarkStart w:id="4" w:name="_Hlk123037991"/>
    </w:p>
    <w:bookmarkEnd w:id="4"/>
    <w:p w14:paraId="31126E5D" w14:textId="10F9DB4E" w:rsidR="00A865FD" w:rsidRPr="00F778C8" w:rsidRDefault="00A865FD" w:rsidP="003428D0">
      <w:pPr>
        <w:rPr>
          <w:b/>
          <w:highlight w:val="yellow"/>
        </w:rPr>
      </w:pPr>
    </w:p>
    <w:sectPr w:rsidR="00A865FD" w:rsidRPr="00F778C8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0E1F" w14:textId="77777777" w:rsidR="00600FAA" w:rsidRDefault="00600FAA" w:rsidP="00CB6D23">
      <w:r>
        <w:separator/>
      </w:r>
    </w:p>
  </w:endnote>
  <w:endnote w:type="continuationSeparator" w:id="0">
    <w:p w14:paraId="6E2D491D" w14:textId="77777777" w:rsidR="00600FAA" w:rsidRDefault="00600FAA" w:rsidP="00C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8E2" w14:textId="77777777" w:rsidR="007A6584" w:rsidRDefault="007A6584">
    <w:pPr>
      <w:pStyle w:val="Footer"/>
      <w:rPr>
        <w:color w:val="4472C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73E" w14:textId="77777777" w:rsidR="007A6584" w:rsidRDefault="007A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C13F" w14:textId="77777777" w:rsidR="00600FAA" w:rsidRDefault="00600FAA" w:rsidP="00CB6D23">
      <w:r>
        <w:separator/>
      </w:r>
    </w:p>
  </w:footnote>
  <w:footnote w:type="continuationSeparator" w:id="0">
    <w:p w14:paraId="27045D7B" w14:textId="77777777" w:rsidR="00600FAA" w:rsidRDefault="00600FAA" w:rsidP="00CB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28BC" w14:textId="5DA8FB11" w:rsidR="007A6584" w:rsidRPr="003C4FB2" w:rsidRDefault="003C4FB2">
    <w:pPr>
      <w:pStyle w:val="Header"/>
      <w:rPr>
        <w:sz w:val="20"/>
        <w:szCs w:val="20"/>
      </w:rPr>
    </w:pPr>
    <w:r w:rsidRPr="003C4FB2">
      <w:rPr>
        <w:sz w:val="20"/>
        <w:szCs w:val="20"/>
      </w:rPr>
      <w:t xml:space="preserve">Appendix: </w:t>
    </w:r>
    <w:r w:rsidR="007A6584" w:rsidRPr="003C4FB2">
      <w:rPr>
        <w:sz w:val="20"/>
        <w:szCs w:val="20"/>
      </w:rPr>
      <w:t xml:space="preserve">EC-6-5B Project Team Meeting – </w:t>
    </w:r>
    <w:r w:rsidR="008F273C">
      <w:rPr>
        <w:sz w:val="20"/>
        <w:szCs w:val="20"/>
      </w:rPr>
      <w:t>September 20</w:t>
    </w:r>
    <w:r w:rsidR="007A6584" w:rsidRPr="003C4FB2">
      <w:rPr>
        <w:sz w:val="20"/>
        <w:szCs w:val="20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CF1"/>
    <w:multiLevelType w:val="hybridMultilevel"/>
    <w:tmpl w:val="FBF8E4BC"/>
    <w:lvl w:ilvl="0" w:tplc="AEA8F7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D4836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128257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DA9C4CF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DBC47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1696B7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36A0D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83E17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96E448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2C05"/>
    <w:multiLevelType w:val="hybridMultilevel"/>
    <w:tmpl w:val="01F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917"/>
    <w:multiLevelType w:val="hybridMultilevel"/>
    <w:tmpl w:val="39443D80"/>
    <w:lvl w:ilvl="0" w:tplc="7810858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474243"/>
    <w:multiLevelType w:val="hybridMultilevel"/>
    <w:tmpl w:val="43768A14"/>
    <w:lvl w:ilvl="0" w:tplc="ACA84DD6">
      <w:start w:val="1"/>
      <w:numFmt w:val="lowerLetter"/>
      <w:lvlText w:val="(%1)"/>
      <w:lvlJc w:val="left"/>
      <w:pPr>
        <w:tabs>
          <w:tab w:val="num" w:pos="2628"/>
        </w:tabs>
        <w:ind w:left="2628" w:hanging="288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0D3507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FF4D55"/>
    <w:multiLevelType w:val="hybridMultilevel"/>
    <w:tmpl w:val="D884C522"/>
    <w:lvl w:ilvl="0" w:tplc="FEBE7A7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3D00C6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183BA8"/>
    <w:multiLevelType w:val="hybridMultilevel"/>
    <w:tmpl w:val="D5C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432D"/>
    <w:multiLevelType w:val="hybridMultilevel"/>
    <w:tmpl w:val="A67C9138"/>
    <w:lvl w:ilvl="0" w:tplc="B9CEAF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1EC6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5DEB6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6CA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718A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820A0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17A1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722EE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87A4BC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42853"/>
    <w:multiLevelType w:val="hybridMultilevel"/>
    <w:tmpl w:val="7F72AACA"/>
    <w:lvl w:ilvl="0" w:tplc="B9CEAF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84944"/>
    <w:multiLevelType w:val="hybridMultilevel"/>
    <w:tmpl w:val="F8882F9C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3C3F0473"/>
    <w:multiLevelType w:val="hybridMultilevel"/>
    <w:tmpl w:val="D776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4067"/>
    <w:multiLevelType w:val="hybridMultilevel"/>
    <w:tmpl w:val="86B8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0FE9"/>
    <w:multiLevelType w:val="hybridMultilevel"/>
    <w:tmpl w:val="14E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A1057"/>
    <w:multiLevelType w:val="hybridMultilevel"/>
    <w:tmpl w:val="847ACA6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95B2E"/>
    <w:multiLevelType w:val="hybridMultilevel"/>
    <w:tmpl w:val="8F8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139FB"/>
    <w:multiLevelType w:val="hybridMultilevel"/>
    <w:tmpl w:val="27C03AD6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6F1D79E8"/>
    <w:multiLevelType w:val="hybridMultilevel"/>
    <w:tmpl w:val="3C3A0CB6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2E055D6"/>
    <w:multiLevelType w:val="hybridMultilevel"/>
    <w:tmpl w:val="7B8AFC88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75FA50DB"/>
    <w:multiLevelType w:val="hybridMultilevel"/>
    <w:tmpl w:val="34D8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68F3"/>
    <w:multiLevelType w:val="hybridMultilevel"/>
    <w:tmpl w:val="7292B9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CB3"/>
    <w:multiLevelType w:val="hybridMultilevel"/>
    <w:tmpl w:val="5594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3734D"/>
    <w:multiLevelType w:val="hybridMultilevel"/>
    <w:tmpl w:val="5E766D3A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93395076">
    <w:abstractNumId w:val="18"/>
  </w:num>
  <w:num w:numId="2" w16cid:durableId="455300136">
    <w:abstractNumId w:val="10"/>
  </w:num>
  <w:num w:numId="3" w16cid:durableId="1195537776">
    <w:abstractNumId w:val="16"/>
  </w:num>
  <w:num w:numId="4" w16cid:durableId="437603983">
    <w:abstractNumId w:val="5"/>
  </w:num>
  <w:num w:numId="5" w16cid:durableId="277839260">
    <w:abstractNumId w:val="2"/>
  </w:num>
  <w:num w:numId="6" w16cid:durableId="757409991">
    <w:abstractNumId w:val="17"/>
  </w:num>
  <w:num w:numId="7" w16cid:durableId="578757877">
    <w:abstractNumId w:val="22"/>
  </w:num>
  <w:num w:numId="8" w16cid:durableId="316806619">
    <w:abstractNumId w:val="6"/>
  </w:num>
  <w:num w:numId="9" w16cid:durableId="951740906">
    <w:abstractNumId w:val="4"/>
  </w:num>
  <w:num w:numId="10" w16cid:durableId="276565865">
    <w:abstractNumId w:val="3"/>
  </w:num>
  <w:num w:numId="11" w16cid:durableId="1446123346">
    <w:abstractNumId w:val="19"/>
  </w:num>
  <w:num w:numId="12" w16cid:durableId="1454597780">
    <w:abstractNumId w:val="1"/>
  </w:num>
  <w:num w:numId="13" w16cid:durableId="165754584">
    <w:abstractNumId w:val="21"/>
  </w:num>
  <w:num w:numId="14" w16cid:durableId="799955142">
    <w:abstractNumId w:val="15"/>
  </w:num>
  <w:num w:numId="15" w16cid:durableId="2117749686">
    <w:abstractNumId w:val="13"/>
  </w:num>
  <w:num w:numId="16" w16cid:durableId="1541430062">
    <w:abstractNumId w:val="7"/>
  </w:num>
  <w:num w:numId="17" w16cid:durableId="952856893">
    <w:abstractNumId w:val="14"/>
  </w:num>
  <w:num w:numId="18" w16cid:durableId="143742126">
    <w:abstractNumId w:val="20"/>
  </w:num>
  <w:num w:numId="19" w16cid:durableId="1793589899">
    <w:abstractNumId w:val="12"/>
  </w:num>
  <w:num w:numId="20" w16cid:durableId="182861448">
    <w:abstractNumId w:val="11"/>
  </w:num>
  <w:num w:numId="21" w16cid:durableId="703019425">
    <w:abstractNumId w:val="15"/>
  </w:num>
  <w:num w:numId="22" w16cid:durableId="179004185">
    <w:abstractNumId w:val="8"/>
  </w:num>
  <w:num w:numId="23" w16cid:durableId="1293243424">
    <w:abstractNumId w:val="0"/>
  </w:num>
  <w:num w:numId="24" w16cid:durableId="1829831875">
    <w:abstractNumId w:val="9"/>
  </w:num>
  <w:num w:numId="25" w16cid:durableId="22310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3"/>
    <w:rsid w:val="00000BB1"/>
    <w:rsid w:val="00007FA5"/>
    <w:rsid w:val="00024B41"/>
    <w:rsid w:val="0003596F"/>
    <w:rsid w:val="00051615"/>
    <w:rsid w:val="00054F57"/>
    <w:rsid w:val="00065497"/>
    <w:rsid w:val="00070B85"/>
    <w:rsid w:val="000758F5"/>
    <w:rsid w:val="00087CE4"/>
    <w:rsid w:val="00097296"/>
    <w:rsid w:val="000A5FA8"/>
    <w:rsid w:val="000B075E"/>
    <w:rsid w:val="000B3A7B"/>
    <w:rsid w:val="000C55F7"/>
    <w:rsid w:val="000D5E0D"/>
    <w:rsid w:val="0010467E"/>
    <w:rsid w:val="001046B0"/>
    <w:rsid w:val="00110989"/>
    <w:rsid w:val="001127DB"/>
    <w:rsid w:val="0012197D"/>
    <w:rsid w:val="00124ADB"/>
    <w:rsid w:val="00127DC2"/>
    <w:rsid w:val="00141AD1"/>
    <w:rsid w:val="0015182B"/>
    <w:rsid w:val="001532AC"/>
    <w:rsid w:val="00156B54"/>
    <w:rsid w:val="00164EE1"/>
    <w:rsid w:val="001B6C38"/>
    <w:rsid w:val="001F329A"/>
    <w:rsid w:val="001F4800"/>
    <w:rsid w:val="0020758D"/>
    <w:rsid w:val="00212A4A"/>
    <w:rsid w:val="00215665"/>
    <w:rsid w:val="00230C8D"/>
    <w:rsid w:val="00251AF2"/>
    <w:rsid w:val="002548EF"/>
    <w:rsid w:val="0025531F"/>
    <w:rsid w:val="00255384"/>
    <w:rsid w:val="00263E99"/>
    <w:rsid w:val="002750DB"/>
    <w:rsid w:val="00286C11"/>
    <w:rsid w:val="00294E1A"/>
    <w:rsid w:val="002A70BA"/>
    <w:rsid w:val="002B300A"/>
    <w:rsid w:val="002C49C6"/>
    <w:rsid w:val="002D199E"/>
    <w:rsid w:val="002F2D05"/>
    <w:rsid w:val="002F5C81"/>
    <w:rsid w:val="002F6FF8"/>
    <w:rsid w:val="00307F46"/>
    <w:rsid w:val="00321D00"/>
    <w:rsid w:val="003428D0"/>
    <w:rsid w:val="0035645D"/>
    <w:rsid w:val="0038135D"/>
    <w:rsid w:val="00383BEF"/>
    <w:rsid w:val="003A6445"/>
    <w:rsid w:val="003C302C"/>
    <w:rsid w:val="003C4FB2"/>
    <w:rsid w:val="003D7597"/>
    <w:rsid w:val="003E3910"/>
    <w:rsid w:val="00424C88"/>
    <w:rsid w:val="00436B2F"/>
    <w:rsid w:val="004404A3"/>
    <w:rsid w:val="00445F45"/>
    <w:rsid w:val="004516B0"/>
    <w:rsid w:val="00453FE9"/>
    <w:rsid w:val="00461DD2"/>
    <w:rsid w:val="00463E71"/>
    <w:rsid w:val="004863D0"/>
    <w:rsid w:val="0049011A"/>
    <w:rsid w:val="004B5D46"/>
    <w:rsid w:val="004C043F"/>
    <w:rsid w:val="004C34F3"/>
    <w:rsid w:val="004C5C4A"/>
    <w:rsid w:val="004D22F3"/>
    <w:rsid w:val="004D77DC"/>
    <w:rsid w:val="004E27B7"/>
    <w:rsid w:val="004E3D0A"/>
    <w:rsid w:val="00507B03"/>
    <w:rsid w:val="005114E6"/>
    <w:rsid w:val="00512FC3"/>
    <w:rsid w:val="0052762E"/>
    <w:rsid w:val="0054195E"/>
    <w:rsid w:val="00547E60"/>
    <w:rsid w:val="00550337"/>
    <w:rsid w:val="005515EF"/>
    <w:rsid w:val="00561660"/>
    <w:rsid w:val="00570833"/>
    <w:rsid w:val="00585028"/>
    <w:rsid w:val="005854DE"/>
    <w:rsid w:val="0058631C"/>
    <w:rsid w:val="00593F9D"/>
    <w:rsid w:val="00596BAD"/>
    <w:rsid w:val="005A3F6B"/>
    <w:rsid w:val="005B26D1"/>
    <w:rsid w:val="005B4E93"/>
    <w:rsid w:val="005C2A3C"/>
    <w:rsid w:val="005C6EF4"/>
    <w:rsid w:val="005D1C44"/>
    <w:rsid w:val="005D54CF"/>
    <w:rsid w:val="005E0DA3"/>
    <w:rsid w:val="005E3944"/>
    <w:rsid w:val="005E7EDF"/>
    <w:rsid w:val="005F314D"/>
    <w:rsid w:val="00600383"/>
    <w:rsid w:val="00600FAA"/>
    <w:rsid w:val="006131B8"/>
    <w:rsid w:val="00616431"/>
    <w:rsid w:val="00657B80"/>
    <w:rsid w:val="006718F6"/>
    <w:rsid w:val="00677864"/>
    <w:rsid w:val="0068426A"/>
    <w:rsid w:val="00695F2E"/>
    <w:rsid w:val="006B40CC"/>
    <w:rsid w:val="006B72D8"/>
    <w:rsid w:val="006C7AF1"/>
    <w:rsid w:val="006E30AD"/>
    <w:rsid w:val="006E379B"/>
    <w:rsid w:val="006E56AD"/>
    <w:rsid w:val="006F0BD6"/>
    <w:rsid w:val="007014BE"/>
    <w:rsid w:val="007043CD"/>
    <w:rsid w:val="00717A3E"/>
    <w:rsid w:val="0072334D"/>
    <w:rsid w:val="00726662"/>
    <w:rsid w:val="007316BD"/>
    <w:rsid w:val="00740BD2"/>
    <w:rsid w:val="007413BB"/>
    <w:rsid w:val="00744E22"/>
    <w:rsid w:val="00747D44"/>
    <w:rsid w:val="007505B7"/>
    <w:rsid w:val="00755AB4"/>
    <w:rsid w:val="00773395"/>
    <w:rsid w:val="00776C2C"/>
    <w:rsid w:val="007A6584"/>
    <w:rsid w:val="007B14FF"/>
    <w:rsid w:val="007C127A"/>
    <w:rsid w:val="007C221C"/>
    <w:rsid w:val="007D079A"/>
    <w:rsid w:val="0080321E"/>
    <w:rsid w:val="00823023"/>
    <w:rsid w:val="00831312"/>
    <w:rsid w:val="00834F79"/>
    <w:rsid w:val="00835A8E"/>
    <w:rsid w:val="00854BA9"/>
    <w:rsid w:val="00863949"/>
    <w:rsid w:val="00876B51"/>
    <w:rsid w:val="00891735"/>
    <w:rsid w:val="008A16F9"/>
    <w:rsid w:val="008A6473"/>
    <w:rsid w:val="008B3CED"/>
    <w:rsid w:val="008B4DCB"/>
    <w:rsid w:val="008B6203"/>
    <w:rsid w:val="008B7BA4"/>
    <w:rsid w:val="008C7119"/>
    <w:rsid w:val="008D4D41"/>
    <w:rsid w:val="008D534A"/>
    <w:rsid w:val="008E53A9"/>
    <w:rsid w:val="008E5F4D"/>
    <w:rsid w:val="008F06ED"/>
    <w:rsid w:val="008F273C"/>
    <w:rsid w:val="008F6F89"/>
    <w:rsid w:val="00901968"/>
    <w:rsid w:val="0091269A"/>
    <w:rsid w:val="00931FF1"/>
    <w:rsid w:val="009374F0"/>
    <w:rsid w:val="0094627F"/>
    <w:rsid w:val="0095218C"/>
    <w:rsid w:val="00962262"/>
    <w:rsid w:val="00981791"/>
    <w:rsid w:val="00983CF5"/>
    <w:rsid w:val="0098500E"/>
    <w:rsid w:val="0099111E"/>
    <w:rsid w:val="009923E5"/>
    <w:rsid w:val="009A3B67"/>
    <w:rsid w:val="009A7CED"/>
    <w:rsid w:val="009B3B1F"/>
    <w:rsid w:val="009B74D3"/>
    <w:rsid w:val="009D3F5B"/>
    <w:rsid w:val="009D788F"/>
    <w:rsid w:val="009E6557"/>
    <w:rsid w:val="009E7141"/>
    <w:rsid w:val="009F1CA4"/>
    <w:rsid w:val="00A038C5"/>
    <w:rsid w:val="00A04F06"/>
    <w:rsid w:val="00A13468"/>
    <w:rsid w:val="00A136C1"/>
    <w:rsid w:val="00A20694"/>
    <w:rsid w:val="00A252CA"/>
    <w:rsid w:val="00A27C96"/>
    <w:rsid w:val="00A42E3E"/>
    <w:rsid w:val="00A46E29"/>
    <w:rsid w:val="00A46F2F"/>
    <w:rsid w:val="00A518B9"/>
    <w:rsid w:val="00A5678C"/>
    <w:rsid w:val="00A6155D"/>
    <w:rsid w:val="00A66FFD"/>
    <w:rsid w:val="00A72EDB"/>
    <w:rsid w:val="00A7344B"/>
    <w:rsid w:val="00A760F7"/>
    <w:rsid w:val="00A7663D"/>
    <w:rsid w:val="00A77DA0"/>
    <w:rsid w:val="00A865FD"/>
    <w:rsid w:val="00A95CB5"/>
    <w:rsid w:val="00AA0B01"/>
    <w:rsid w:val="00AA58C1"/>
    <w:rsid w:val="00AA76CC"/>
    <w:rsid w:val="00AB3DC7"/>
    <w:rsid w:val="00B05C1E"/>
    <w:rsid w:val="00B23A6C"/>
    <w:rsid w:val="00B372AF"/>
    <w:rsid w:val="00B46870"/>
    <w:rsid w:val="00B46C6B"/>
    <w:rsid w:val="00B633FF"/>
    <w:rsid w:val="00B77376"/>
    <w:rsid w:val="00B813CF"/>
    <w:rsid w:val="00B93076"/>
    <w:rsid w:val="00BA325C"/>
    <w:rsid w:val="00BB4402"/>
    <w:rsid w:val="00BD5D2D"/>
    <w:rsid w:val="00BD6682"/>
    <w:rsid w:val="00BE0A9C"/>
    <w:rsid w:val="00BE4ED1"/>
    <w:rsid w:val="00BE528D"/>
    <w:rsid w:val="00C04295"/>
    <w:rsid w:val="00C26DB5"/>
    <w:rsid w:val="00C27538"/>
    <w:rsid w:val="00C30BB3"/>
    <w:rsid w:val="00C323A5"/>
    <w:rsid w:val="00C423CD"/>
    <w:rsid w:val="00C454B4"/>
    <w:rsid w:val="00C52D47"/>
    <w:rsid w:val="00C540A6"/>
    <w:rsid w:val="00C627C7"/>
    <w:rsid w:val="00C64EF2"/>
    <w:rsid w:val="00C66B18"/>
    <w:rsid w:val="00C73324"/>
    <w:rsid w:val="00C93C6C"/>
    <w:rsid w:val="00CB6D23"/>
    <w:rsid w:val="00CD33CD"/>
    <w:rsid w:val="00CD451E"/>
    <w:rsid w:val="00CE0A02"/>
    <w:rsid w:val="00CF1B53"/>
    <w:rsid w:val="00CF43AA"/>
    <w:rsid w:val="00D035B1"/>
    <w:rsid w:val="00D131E6"/>
    <w:rsid w:val="00D248C3"/>
    <w:rsid w:val="00D430BB"/>
    <w:rsid w:val="00D5269B"/>
    <w:rsid w:val="00D57E3A"/>
    <w:rsid w:val="00D76572"/>
    <w:rsid w:val="00D95851"/>
    <w:rsid w:val="00DA084C"/>
    <w:rsid w:val="00DA3359"/>
    <w:rsid w:val="00DC409D"/>
    <w:rsid w:val="00DD09B3"/>
    <w:rsid w:val="00DD51BF"/>
    <w:rsid w:val="00DD79FE"/>
    <w:rsid w:val="00DE33B2"/>
    <w:rsid w:val="00DE5A93"/>
    <w:rsid w:val="00DE5BA4"/>
    <w:rsid w:val="00DF336C"/>
    <w:rsid w:val="00DF5B07"/>
    <w:rsid w:val="00E02D2E"/>
    <w:rsid w:val="00E05CA5"/>
    <w:rsid w:val="00E14F59"/>
    <w:rsid w:val="00E212E5"/>
    <w:rsid w:val="00E40779"/>
    <w:rsid w:val="00E47415"/>
    <w:rsid w:val="00E5336C"/>
    <w:rsid w:val="00E634CD"/>
    <w:rsid w:val="00E700A5"/>
    <w:rsid w:val="00E73868"/>
    <w:rsid w:val="00E73E14"/>
    <w:rsid w:val="00E87BD6"/>
    <w:rsid w:val="00EA034D"/>
    <w:rsid w:val="00EA450E"/>
    <w:rsid w:val="00EA70AB"/>
    <w:rsid w:val="00EB0BC3"/>
    <w:rsid w:val="00EB52E7"/>
    <w:rsid w:val="00EB61D2"/>
    <w:rsid w:val="00EE0060"/>
    <w:rsid w:val="00EE3195"/>
    <w:rsid w:val="00F06BE6"/>
    <w:rsid w:val="00F127C7"/>
    <w:rsid w:val="00F3427C"/>
    <w:rsid w:val="00F41285"/>
    <w:rsid w:val="00F47EC5"/>
    <w:rsid w:val="00F54053"/>
    <w:rsid w:val="00F56AD2"/>
    <w:rsid w:val="00F60F63"/>
    <w:rsid w:val="00F63031"/>
    <w:rsid w:val="00F648CE"/>
    <w:rsid w:val="00F66220"/>
    <w:rsid w:val="00F66B9A"/>
    <w:rsid w:val="00F73DF4"/>
    <w:rsid w:val="00F778C8"/>
    <w:rsid w:val="00F96609"/>
    <w:rsid w:val="00FA2134"/>
    <w:rsid w:val="00FA2CA3"/>
    <w:rsid w:val="00FA4AD2"/>
    <w:rsid w:val="00FB477D"/>
    <w:rsid w:val="00FC325F"/>
    <w:rsid w:val="00FE12AB"/>
    <w:rsid w:val="00FF439B"/>
    <w:rsid w:val="06868A2E"/>
    <w:rsid w:val="13A36569"/>
    <w:rsid w:val="17E1C37D"/>
    <w:rsid w:val="32D47759"/>
    <w:rsid w:val="3857E370"/>
    <w:rsid w:val="42C4A9EF"/>
    <w:rsid w:val="4D6C17FF"/>
    <w:rsid w:val="60966F7B"/>
    <w:rsid w:val="63C6CCA0"/>
    <w:rsid w:val="6E6E117F"/>
    <w:rsid w:val="74FB023C"/>
    <w:rsid w:val="7BFDD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D1B4AB6"/>
  <w15:chartTrackingRefBased/>
  <w15:docId w15:val="{D1D410B0-1E20-40E3-885E-9E938425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3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A33BB"/>
    <w:rPr>
      <w:sz w:val="16"/>
      <w:szCs w:val="16"/>
    </w:rPr>
  </w:style>
  <w:style w:type="paragraph" w:styleId="CommentText">
    <w:name w:val="annotation text"/>
    <w:basedOn w:val="Normal"/>
    <w:semiHidden/>
    <w:rsid w:val="00FA3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3BB"/>
    <w:rPr>
      <w:b/>
      <w:bCs/>
    </w:rPr>
  </w:style>
  <w:style w:type="paragraph" w:styleId="BalloonText">
    <w:name w:val="Balloon Text"/>
    <w:basedOn w:val="Normal"/>
    <w:semiHidden/>
    <w:rsid w:val="00FA3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2762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71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23"/>
    <w:rPr>
      <w:sz w:val="24"/>
      <w:szCs w:val="24"/>
    </w:rPr>
  </w:style>
  <w:style w:type="character" w:styleId="Hyperlink">
    <w:name w:val="Hyperlink"/>
    <w:uiPriority w:val="99"/>
    <w:unhideWhenUsed/>
    <w:rsid w:val="00F342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42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34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2FC3"/>
    <w:rPr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F27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33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norton@prc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f8a1c-bdc1-437c-8fce-09dcc749c0a5" xsi:nil="true"/>
    <lcf76f155ced4ddcb4097134ff3c332f xmlns="e7503f34-dcd5-4f7d-badf-0ddc02b6a8b6">
      <Terms xmlns="http://schemas.microsoft.com/office/infopath/2007/PartnerControls"/>
    </lcf76f155ced4ddcb4097134ff3c332f>
    <Notes0 xmlns="e7503f34-dcd5-4f7d-badf-0ddc02b6a8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15B460721D4E812A119FA9F3707E" ma:contentTypeVersion="17" ma:contentTypeDescription="Create a new document." ma:contentTypeScope="" ma:versionID="64dcd975ecd28257ef5e620c4a2afac0">
  <xsd:schema xmlns:xsd="http://www.w3.org/2001/XMLSchema" xmlns:xs="http://www.w3.org/2001/XMLSchema" xmlns:p="http://schemas.microsoft.com/office/2006/metadata/properties" xmlns:ns2="e7503f34-dcd5-4f7d-badf-0ddc02b6a8b6" xmlns:ns3="2cff8a1c-bdc1-437c-8fce-09dcc749c0a5" targetNamespace="http://schemas.microsoft.com/office/2006/metadata/properties" ma:root="true" ma:fieldsID="96c71ac55639e0214bbd0755f1bd4ab1" ns2:_="" ns3:_="">
    <xsd:import namespace="e7503f34-dcd5-4f7d-badf-0ddc02b6a8b6"/>
    <xsd:import namespace="2cff8a1c-bdc1-437c-8fce-09dcc749c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0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3f34-dcd5-4f7d-badf-0ddc02b6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Notes" ma:description="Revision Notes" ma:format="Dropdown" ma:internalName="Notes0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08c548-889b-4a4f-bb93-9b7b4c7ad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8a1c-bdc1-437c-8fce-09dcc749c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d6e3f6-9df4-4791-88e6-3fbc301706a9}" ma:internalName="TaxCatchAll" ma:showField="CatchAllData" ma:web="2cff8a1c-bdc1-437c-8fce-09dcc749c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F64F-3CB8-4EEC-9806-9E5DCBF0E69C}">
  <ds:schemaRefs>
    <ds:schemaRef ds:uri="http://schemas.microsoft.com/office/2006/metadata/properties"/>
    <ds:schemaRef ds:uri="http://schemas.microsoft.com/office/infopath/2007/PartnerControls"/>
    <ds:schemaRef ds:uri="2cff8a1c-bdc1-437c-8fce-09dcc749c0a5"/>
    <ds:schemaRef ds:uri="e7503f34-dcd5-4f7d-badf-0ddc02b6a8b6"/>
  </ds:schemaRefs>
</ds:datastoreItem>
</file>

<file path=customXml/itemProps2.xml><?xml version="1.0" encoding="utf-8"?>
<ds:datastoreItem xmlns:ds="http://schemas.openxmlformats.org/officeDocument/2006/customXml" ds:itemID="{B0CB860F-4B21-4FB6-8B97-0338613A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03f34-dcd5-4f7d-badf-0ddc02b6a8b6"/>
    <ds:schemaRef ds:uri="2cff8a1c-bdc1-437c-8fce-09dcc749c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40F1B-893A-4663-ADBC-D7DDD5028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CE911-A28B-477F-B85F-986854AB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Paxian Corporation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subject/>
  <dc:creator>Mary Lockhart</dc:creator>
  <cp:keywords/>
  <cp:lastModifiedBy>Janie Norton</cp:lastModifiedBy>
  <cp:revision>4</cp:revision>
  <cp:lastPrinted>2015-02-25T23:18:00Z</cp:lastPrinted>
  <dcterms:created xsi:type="dcterms:W3CDTF">2024-06-21T18:14:00Z</dcterms:created>
  <dcterms:modified xsi:type="dcterms:W3CDTF">2024-06-21T18:15:00Z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Notes0">
    <vt:lpwstr/>
  </property>
  <property fmtid="{D5CDD505-2E9C-101B-9397-08002B2CF9AE}" pid="5" name="MediaServiceImageTags">
    <vt:lpwstr/>
  </property>
  <property fmtid="{D5CDD505-2E9C-101B-9397-08002B2CF9AE}" pid="6" name="ContentTypeId">
    <vt:lpwstr>0x01010097AE15B460721D4E812A119FA9F3707E</vt:lpwstr>
  </property>
</Properties>
</file>